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8820"/>
        </w:tabs>
        <w:spacing w:line="560" w:lineRule="exact"/>
        <w:ind w:right="320" w:firstLine="640" w:firstLineChars="200"/>
        <w:jc w:val="right"/>
        <w:rPr>
          <w:rFonts w:eastAsia="仿宋_GB2312"/>
          <w:sz w:val="32"/>
          <w:szCs w:val="32"/>
        </w:rPr>
      </w:pPr>
      <w:bookmarkStart w:id="1" w:name="_GoBack"/>
      <w:bookmarkEnd w:id="1"/>
    </w:p>
    <w:p>
      <w:pPr>
        <w:spacing w:line="560" w:lineRule="exact"/>
        <w:jc w:val="center"/>
        <w:rPr>
          <w:rFonts w:ascii="方正小标宋_GBK" w:hAnsi="华文中宋" w:eastAsia="方正小标宋_GBK"/>
          <w:spacing w:val="-4"/>
          <w:sz w:val="44"/>
          <w:szCs w:val="44"/>
        </w:rPr>
      </w:pPr>
      <w:r>
        <w:rPr>
          <w:rFonts w:ascii="方正小标宋_GBK" w:hAnsi="华文中宋" w:eastAsia="方正小标宋_GBK"/>
          <w:spacing w:val="-4"/>
          <w:sz w:val="44"/>
          <w:szCs w:val="44"/>
        </w:rPr>
        <w:t>攀枝花市生态环境局</w:t>
      </w:r>
    </w:p>
    <w:p>
      <w:pPr>
        <w:spacing w:line="560" w:lineRule="exact"/>
        <w:jc w:val="center"/>
        <w:rPr>
          <w:rFonts w:ascii="方正小标宋_GBK" w:hAnsi="华文中宋" w:eastAsia="方正小标宋_GBK"/>
          <w:spacing w:val="-4"/>
          <w:sz w:val="44"/>
          <w:szCs w:val="44"/>
        </w:rPr>
      </w:pPr>
      <w:r>
        <w:rPr>
          <w:rFonts w:ascii="方正小标宋_GBK" w:hAnsi="华文中宋" w:eastAsia="方正小标宋_GBK"/>
          <w:spacing w:val="-4"/>
          <w:sz w:val="44"/>
          <w:szCs w:val="44"/>
        </w:rPr>
        <w:t>关于米易元通铁钛有限责任公司</w:t>
      </w:r>
    </w:p>
    <w:p>
      <w:pPr>
        <w:spacing w:line="560" w:lineRule="exact"/>
        <w:jc w:val="center"/>
        <w:rPr>
          <w:rFonts w:ascii="方正小标宋_GBK" w:hAnsi="华文中宋" w:eastAsia="方正小标宋_GBK"/>
          <w:spacing w:val="-4"/>
          <w:sz w:val="44"/>
          <w:szCs w:val="44"/>
        </w:rPr>
      </w:pPr>
      <w:r>
        <w:rPr>
          <w:rFonts w:ascii="方正小标宋_GBK" w:hAnsi="华文中宋" w:eastAsia="方正小标宋_GBK"/>
          <w:spacing w:val="-4"/>
          <w:sz w:val="44"/>
          <w:szCs w:val="44"/>
        </w:rPr>
        <w:t>龙塘沟尾矿库（二期）加高扩容工程</w:t>
      </w:r>
    </w:p>
    <w:p>
      <w:pPr>
        <w:spacing w:line="560" w:lineRule="exact"/>
        <w:jc w:val="center"/>
        <w:rPr>
          <w:rFonts w:eastAsia="方正小标宋_GBK"/>
          <w:b/>
          <w:sz w:val="44"/>
          <w:szCs w:val="44"/>
        </w:rPr>
      </w:pPr>
      <w:r>
        <w:rPr>
          <w:rFonts w:ascii="方正小标宋_GBK" w:hAnsi="华文中宋" w:eastAsia="方正小标宋_GBK"/>
          <w:spacing w:val="-4"/>
          <w:sz w:val="44"/>
          <w:szCs w:val="44"/>
        </w:rPr>
        <w:t>环境影响报告书的批复</w:t>
      </w:r>
    </w:p>
    <w:p>
      <w:pPr>
        <w:snapToGrid w:val="0"/>
        <w:spacing w:line="600" w:lineRule="exact"/>
        <w:ind w:right="26"/>
        <w:rPr>
          <w:rFonts w:eastAsia="仿宋_GB2312"/>
          <w:b/>
          <w:sz w:val="32"/>
          <w:szCs w:val="32"/>
        </w:rPr>
      </w:pPr>
    </w:p>
    <w:p>
      <w:pPr>
        <w:snapToGrid w:val="0"/>
        <w:spacing w:line="600" w:lineRule="exact"/>
        <w:ind w:right="26"/>
        <w:rPr>
          <w:rFonts w:eastAsia="仿宋_GB2312"/>
          <w:sz w:val="32"/>
          <w:szCs w:val="32"/>
        </w:rPr>
      </w:pPr>
      <w:r>
        <w:rPr>
          <w:rFonts w:eastAsia="仿宋_GB2312"/>
          <w:sz w:val="32"/>
          <w:szCs w:val="32"/>
        </w:rPr>
        <w:t>米易元通铁钛有限责任公司：</w:t>
      </w:r>
    </w:p>
    <w:p>
      <w:pPr>
        <w:snapToGrid w:val="0"/>
        <w:spacing w:line="600" w:lineRule="exact"/>
        <w:ind w:firstLine="640" w:firstLineChars="200"/>
        <w:rPr>
          <w:rFonts w:hint="eastAsia" w:eastAsia="仿宋_GB2312"/>
          <w:sz w:val="32"/>
          <w:szCs w:val="32"/>
        </w:rPr>
      </w:pPr>
      <w:r>
        <w:rPr>
          <w:rFonts w:eastAsia="仿宋_GB2312"/>
          <w:sz w:val="32"/>
          <w:szCs w:val="32"/>
        </w:rPr>
        <w:t>《龙塘沟尾矿库（二期）加高扩容工程环境影响报告书》（以下简称报告书）收悉，经研究，批复如下</w:t>
      </w:r>
      <w:r>
        <w:rPr>
          <w:rFonts w:hint="eastAsia" w:eastAsia="仿宋_GB2312"/>
          <w:sz w:val="32"/>
          <w:szCs w:val="32"/>
        </w:rPr>
        <w:t>：</w:t>
      </w:r>
    </w:p>
    <w:p>
      <w:pPr>
        <w:snapToGrid w:val="0"/>
        <w:spacing w:line="600" w:lineRule="exact"/>
        <w:ind w:firstLine="640" w:firstLineChars="200"/>
        <w:rPr>
          <w:rFonts w:hint="eastAsia" w:ascii="黑体" w:hAnsi="黑体" w:eastAsia="黑体"/>
          <w:sz w:val="32"/>
          <w:szCs w:val="32"/>
        </w:rPr>
      </w:pPr>
      <w:r>
        <w:rPr>
          <w:rFonts w:ascii="黑体" w:hAnsi="黑体" w:eastAsia="黑体"/>
          <w:sz w:val="32"/>
          <w:szCs w:val="32"/>
        </w:rPr>
        <w:t>一、</w:t>
      </w:r>
      <w:r>
        <w:rPr>
          <w:rFonts w:hint="eastAsia" w:ascii="黑体" w:hAnsi="黑体" w:eastAsia="黑体"/>
          <w:sz w:val="32"/>
          <w:szCs w:val="32"/>
        </w:rPr>
        <w:t>基本情况</w:t>
      </w:r>
    </w:p>
    <w:p>
      <w:pPr>
        <w:snapToGrid w:val="0"/>
        <w:spacing w:line="600" w:lineRule="exact"/>
        <w:ind w:firstLine="640" w:firstLineChars="200"/>
        <w:rPr>
          <w:rFonts w:hint="eastAsia" w:eastAsia="仿宋_GB2312"/>
          <w:sz w:val="32"/>
          <w:szCs w:val="32"/>
        </w:rPr>
      </w:pPr>
      <w:r>
        <w:rPr>
          <w:rFonts w:eastAsia="仿宋_GB2312"/>
          <w:sz w:val="32"/>
          <w:szCs w:val="32"/>
        </w:rPr>
        <w:t>龙塘沟尾矿库位于攀枝花市米易县白马镇威龙村，尾矿库</w:t>
      </w:r>
      <w:r>
        <w:rPr>
          <w:rFonts w:hint="eastAsia" w:eastAsia="仿宋_GB2312"/>
          <w:sz w:val="32"/>
          <w:szCs w:val="32"/>
        </w:rPr>
        <w:t>现有</w:t>
      </w:r>
      <w:r>
        <w:rPr>
          <w:rFonts w:eastAsia="仿宋_GB2312"/>
          <w:sz w:val="32"/>
          <w:szCs w:val="32"/>
        </w:rPr>
        <w:t>排洪</w:t>
      </w:r>
      <w:r>
        <w:rPr>
          <w:rFonts w:hint="eastAsia" w:eastAsia="仿宋_GB2312"/>
          <w:sz w:val="32"/>
          <w:szCs w:val="32"/>
        </w:rPr>
        <w:t>能力</w:t>
      </w:r>
      <w:r>
        <w:rPr>
          <w:rFonts w:eastAsia="仿宋_GB2312"/>
          <w:sz w:val="32"/>
          <w:szCs w:val="32"/>
        </w:rPr>
        <w:t>不能满足安全要求</w:t>
      </w:r>
      <w:r>
        <w:rPr>
          <w:rFonts w:hint="eastAsia" w:eastAsia="仿宋_GB2312"/>
          <w:sz w:val="32"/>
          <w:szCs w:val="32"/>
        </w:rPr>
        <w:t>，</w:t>
      </w:r>
      <w:r>
        <w:rPr>
          <w:rFonts w:eastAsia="仿宋_GB2312"/>
          <w:sz w:val="32"/>
          <w:szCs w:val="32"/>
        </w:rPr>
        <w:t>为确保尾矿库安全，</w:t>
      </w:r>
      <w:r>
        <w:rPr>
          <w:rFonts w:hint="eastAsia" w:eastAsia="仿宋_GB2312"/>
          <w:sz w:val="32"/>
          <w:szCs w:val="32"/>
        </w:rPr>
        <w:t>提高安全水平，你公司</w:t>
      </w:r>
      <w:r>
        <w:rPr>
          <w:rFonts w:eastAsia="仿宋_GB2312"/>
          <w:sz w:val="32"/>
          <w:szCs w:val="32"/>
        </w:rPr>
        <w:t>拟</w:t>
      </w:r>
      <w:r>
        <w:rPr>
          <w:rFonts w:hint="eastAsia" w:eastAsia="仿宋_GB2312"/>
          <w:sz w:val="32"/>
          <w:szCs w:val="32"/>
        </w:rPr>
        <w:t>实施</w:t>
      </w:r>
      <w:r>
        <w:rPr>
          <w:rFonts w:eastAsia="仿宋_GB2312"/>
          <w:sz w:val="32"/>
          <w:szCs w:val="32"/>
        </w:rPr>
        <w:t>龙塘沟尾矿库（二期）加高扩容工程</w:t>
      </w:r>
      <w:r>
        <w:rPr>
          <w:rFonts w:hint="eastAsia" w:eastAsia="仿宋_GB2312"/>
          <w:sz w:val="32"/>
          <w:szCs w:val="32"/>
        </w:rPr>
        <w:t>。工程主要建设内容包括：</w:t>
      </w:r>
      <w:r>
        <w:rPr>
          <w:rFonts w:eastAsia="仿宋_GB2312"/>
          <w:sz w:val="32"/>
          <w:szCs w:val="32"/>
        </w:rPr>
        <w:t>新建排洪系统（前期库外采用截洪坝+竖井式溢洪道排洪，后期库外采用截洪坝+排水井排洪；库内采用排水井+竖井+排洪隧洞排洪）；</w:t>
      </w:r>
      <w:r>
        <w:rPr>
          <w:rFonts w:hint="eastAsia" w:eastAsia="仿宋_GB2312"/>
          <w:sz w:val="32"/>
          <w:szCs w:val="32"/>
        </w:rPr>
        <w:t>在原初期坝下</w:t>
      </w:r>
      <w:r>
        <w:rPr>
          <w:rFonts w:hint="eastAsia" w:ascii="仿宋_GB2312" w:eastAsia="仿宋_GB2312"/>
          <w:sz w:val="32"/>
          <w:szCs w:val="32"/>
        </w:rPr>
        <w:t>游增设一堆石</w:t>
      </w:r>
      <w:r>
        <w:rPr>
          <w:rFonts w:hint="eastAsia" w:eastAsia="仿宋_GB2312"/>
          <w:sz w:val="32"/>
          <w:szCs w:val="32"/>
        </w:rPr>
        <w:t>反压平台，新建副坝1座；</w:t>
      </w:r>
      <w:r>
        <w:rPr>
          <w:rFonts w:eastAsia="仿宋_GB2312"/>
          <w:sz w:val="32"/>
          <w:szCs w:val="32"/>
        </w:rPr>
        <w:t>新建尾矿库回水管道一条，总长3193m</w:t>
      </w:r>
      <w:r>
        <w:rPr>
          <w:rFonts w:hint="eastAsia" w:eastAsia="仿宋_GB2312"/>
          <w:sz w:val="32"/>
          <w:szCs w:val="32"/>
        </w:rPr>
        <w:t>，</w:t>
      </w:r>
      <w:r>
        <w:rPr>
          <w:rFonts w:eastAsia="仿宋_GB2312"/>
          <w:sz w:val="32"/>
          <w:szCs w:val="32"/>
        </w:rPr>
        <w:t>配套建设尾矿库观测系统等相关设施。</w:t>
      </w:r>
    </w:p>
    <w:p>
      <w:pPr>
        <w:snapToGrid w:val="0"/>
        <w:spacing w:line="600" w:lineRule="exact"/>
        <w:ind w:firstLine="640" w:firstLineChars="200"/>
        <w:rPr>
          <w:rFonts w:eastAsia="仿宋_GB2312"/>
          <w:sz w:val="32"/>
          <w:szCs w:val="32"/>
        </w:rPr>
      </w:pPr>
      <w:r>
        <w:rPr>
          <w:rFonts w:hint="eastAsia" w:eastAsia="仿宋_GB2312"/>
          <w:sz w:val="32"/>
          <w:szCs w:val="32"/>
        </w:rPr>
        <w:t>工程</w:t>
      </w:r>
      <w:r>
        <w:rPr>
          <w:rFonts w:eastAsia="仿宋_GB2312"/>
          <w:sz w:val="32"/>
          <w:szCs w:val="32"/>
        </w:rPr>
        <w:t>建成后，</w:t>
      </w:r>
      <w:r>
        <w:rPr>
          <w:rFonts w:hint="eastAsia" w:eastAsia="仿宋_GB2312"/>
          <w:sz w:val="32"/>
          <w:szCs w:val="32"/>
        </w:rPr>
        <w:t>尾矿库</w:t>
      </w:r>
      <w:r>
        <w:rPr>
          <w:rFonts w:eastAsia="仿宋_GB2312"/>
          <w:sz w:val="32"/>
          <w:szCs w:val="32"/>
        </w:rPr>
        <w:t>库容由265万m</w:t>
      </w:r>
      <w:r>
        <w:rPr>
          <w:rFonts w:eastAsia="仿宋_GB2312"/>
          <w:sz w:val="32"/>
          <w:szCs w:val="32"/>
          <w:vertAlign w:val="superscript"/>
        </w:rPr>
        <w:t>3</w:t>
      </w:r>
      <w:r>
        <w:rPr>
          <w:rFonts w:eastAsia="仿宋_GB2312"/>
          <w:sz w:val="32"/>
          <w:szCs w:val="32"/>
        </w:rPr>
        <w:t>增至3201.81万m</w:t>
      </w:r>
      <w:r>
        <w:rPr>
          <w:rFonts w:eastAsia="仿宋_GB2312"/>
          <w:sz w:val="32"/>
          <w:szCs w:val="32"/>
          <w:vertAlign w:val="superscript"/>
        </w:rPr>
        <w:t>3</w:t>
      </w:r>
      <w:r>
        <w:rPr>
          <w:rFonts w:eastAsia="仿宋_GB2312"/>
          <w:sz w:val="32"/>
          <w:szCs w:val="32"/>
        </w:rPr>
        <w:t>，总坝高195.0m，占地面积100.4hm</w:t>
      </w:r>
      <w:r>
        <w:rPr>
          <w:rFonts w:eastAsia="仿宋_GB2312"/>
          <w:sz w:val="32"/>
          <w:szCs w:val="32"/>
          <w:vertAlign w:val="superscript"/>
        </w:rPr>
        <w:t>2</w:t>
      </w:r>
      <w:r>
        <w:rPr>
          <w:rFonts w:eastAsia="仿宋_GB2312"/>
          <w:sz w:val="32"/>
          <w:szCs w:val="32"/>
        </w:rPr>
        <w:t>，坝顶标高1360m，服务年限26年，属二等库，用于堆放钒钛磁铁矿重选尾矿（</w:t>
      </w:r>
      <w:r>
        <w:rPr>
          <w:rFonts w:hint="eastAsia" w:ascii="宋体" w:hAnsi="宋体" w:cs="宋体"/>
          <w:sz w:val="32"/>
          <w:szCs w:val="32"/>
        </w:rPr>
        <w:t>Ⅰ</w:t>
      </w:r>
      <w:r>
        <w:rPr>
          <w:rFonts w:eastAsia="仿宋_GB2312"/>
          <w:sz w:val="32"/>
          <w:szCs w:val="32"/>
        </w:rPr>
        <w:t>类一般工业固废）。项目总投资14355.6万元，其中环保投资</w:t>
      </w:r>
      <w:r>
        <w:rPr>
          <w:rFonts w:hint="eastAsia" w:eastAsia="仿宋_GB2312"/>
          <w:sz w:val="32"/>
          <w:szCs w:val="32"/>
        </w:rPr>
        <w:t>1455</w:t>
      </w:r>
      <w:r>
        <w:rPr>
          <w:rFonts w:eastAsia="仿宋_GB2312"/>
          <w:sz w:val="32"/>
          <w:szCs w:val="32"/>
        </w:rPr>
        <w:t>万元。</w:t>
      </w:r>
    </w:p>
    <w:p>
      <w:pPr>
        <w:snapToGrid w:val="0"/>
        <w:spacing w:line="600" w:lineRule="exact"/>
        <w:ind w:firstLine="640" w:firstLineChars="200"/>
        <w:rPr>
          <w:rFonts w:eastAsia="仿宋_GB2312"/>
          <w:sz w:val="32"/>
          <w:szCs w:val="32"/>
        </w:rPr>
      </w:pPr>
      <w:r>
        <w:rPr>
          <w:rFonts w:eastAsia="仿宋_GB2312"/>
          <w:sz w:val="32"/>
          <w:szCs w:val="32"/>
        </w:rPr>
        <w:t>项目经米易县经济和信息化局备案（川投资备[2019-510421-08-03-345567]JXQB-0038号），选址经米易县自然资源和规划局确认。项目安全设施设计已通过</w:t>
      </w:r>
      <w:r>
        <w:rPr>
          <w:rFonts w:eastAsia="仿宋_GB2312"/>
          <w:bCs/>
          <w:kern w:val="0"/>
          <w:sz w:val="32"/>
          <w:szCs w:val="32"/>
        </w:rPr>
        <w:t>四川省应急管理厅审批（</w:t>
      </w:r>
      <w:r>
        <w:rPr>
          <w:rFonts w:eastAsia="仿宋_GB2312"/>
          <w:sz w:val="32"/>
          <w:szCs w:val="32"/>
        </w:rPr>
        <w:t>川应急审批〔2020〕61号</w:t>
      </w:r>
      <w:r>
        <w:rPr>
          <w:rFonts w:eastAsia="仿宋_GB2312"/>
          <w:bCs/>
          <w:kern w:val="0"/>
          <w:sz w:val="32"/>
          <w:szCs w:val="32"/>
        </w:rPr>
        <w:t>）</w:t>
      </w:r>
      <w:r>
        <w:rPr>
          <w:rFonts w:eastAsia="仿宋_GB2312"/>
          <w:sz w:val="32"/>
          <w:szCs w:val="32"/>
        </w:rPr>
        <w:t>。</w:t>
      </w:r>
    </w:p>
    <w:p>
      <w:pPr>
        <w:snapToGrid w:val="0"/>
        <w:spacing w:line="600" w:lineRule="exact"/>
        <w:ind w:firstLine="640" w:firstLineChars="200"/>
        <w:rPr>
          <w:rFonts w:eastAsia="仿宋_GB2312"/>
          <w:sz w:val="32"/>
          <w:szCs w:val="32"/>
        </w:rPr>
      </w:pPr>
      <w:r>
        <w:rPr>
          <w:rFonts w:eastAsia="仿宋_GB2312"/>
          <w:sz w:val="32"/>
          <w:szCs w:val="32"/>
        </w:rPr>
        <w:t>在严格落实报告书提出的</w:t>
      </w:r>
      <w:r>
        <w:rPr>
          <w:rFonts w:hint="eastAsia" w:eastAsia="仿宋_GB2312"/>
          <w:sz w:val="32"/>
          <w:szCs w:val="32"/>
        </w:rPr>
        <w:t>环境保护</w:t>
      </w:r>
      <w:r>
        <w:rPr>
          <w:rFonts w:eastAsia="仿宋_GB2312"/>
          <w:sz w:val="32"/>
          <w:szCs w:val="32"/>
        </w:rPr>
        <w:t>对策及措施，严格执行“三同时”制度，确保项目污染物达标排放，认真落实环境风险防范措施的前提下，该项目的建设从生态环境角度可行，我局原则同意报告书的环境影响评价总体结论和拟采取的各项生态环境保护措施。你公司应严格按照报告书中所列项目的建设性质、规模、工艺、地点和拟采取的环境保护措施进行建设和运行，以确保对环境的不利影响能够得到缓解和控制。</w:t>
      </w:r>
    </w:p>
    <w:p>
      <w:pPr>
        <w:snapToGrid w:val="0"/>
        <w:spacing w:line="600" w:lineRule="exact"/>
        <w:ind w:firstLine="640" w:firstLineChars="200"/>
        <w:rPr>
          <w:rFonts w:hint="eastAsia" w:ascii="黑体" w:hAnsi="黑体" w:eastAsia="黑体"/>
          <w:sz w:val="32"/>
          <w:szCs w:val="32"/>
        </w:rPr>
      </w:pPr>
      <w:r>
        <w:rPr>
          <w:rFonts w:hint="eastAsia" w:ascii="黑体" w:hAnsi="黑体" w:eastAsia="黑体"/>
          <w:sz w:val="32"/>
          <w:szCs w:val="32"/>
        </w:rPr>
        <w:t>二、项目建设及营运期应重点做好以下工作</w:t>
      </w:r>
    </w:p>
    <w:p>
      <w:pPr>
        <w:snapToGrid w:val="0"/>
        <w:spacing w:line="600" w:lineRule="exact"/>
        <w:ind w:firstLine="640" w:firstLineChars="200"/>
        <w:rPr>
          <w:rFonts w:hint="eastAsia" w:eastAsia="仿宋_GB2312"/>
          <w:sz w:val="32"/>
          <w:szCs w:val="32"/>
        </w:rPr>
      </w:pPr>
      <w:r>
        <w:rPr>
          <w:rFonts w:hint="eastAsia" w:eastAsia="仿宋_GB2312"/>
          <w:sz w:val="32"/>
          <w:szCs w:val="32"/>
        </w:rPr>
        <w:t>（一）加强施工期及运行期的环境保护工作，落实施工期环境监理和建设单位内部的环境管理机构、人员等工作。落实环保设计合同，同步开展招标设计和技术施工设计，将环保措施纳入招标、施工承包合同之中。认真执行环境保护“三同时”制度，确保环保措施的有效落实，控制和减小工程建设对生态环境的不利影响。</w:t>
      </w:r>
    </w:p>
    <w:p>
      <w:pPr>
        <w:snapToGrid w:val="0"/>
        <w:spacing w:line="600" w:lineRule="exact"/>
        <w:ind w:firstLine="640" w:firstLineChars="200"/>
        <w:rPr>
          <w:rFonts w:hint="eastAsia" w:eastAsia="仿宋_GB2312"/>
          <w:sz w:val="32"/>
          <w:szCs w:val="32"/>
        </w:rPr>
      </w:pPr>
      <w:r>
        <w:rPr>
          <w:rFonts w:hint="eastAsia" w:eastAsia="仿宋_GB2312"/>
          <w:sz w:val="32"/>
          <w:szCs w:val="32"/>
        </w:rPr>
        <w:t>（二）优化施工临时工程设置，尽量减少耕地、林地占用，工程占地、伐林须符合国家相关管理政策，并按相关要求完善手续。禁止在征地范围外设置施工场地、施工营地，合理利用原有道路作为施工便道，施工场地、施工营地、弃渣场、施工便道等临时工程不得占用基本农田。采取工程措施和生态保护措施达到水土保持方案确定的水土流失治理标准和要求，尽可能减缓对生态环境的不利影响；加强管理，规范施工，严禁渣土下河，尽量减少新增水土流失。</w:t>
      </w:r>
    </w:p>
    <w:p>
      <w:pPr>
        <w:snapToGrid w:val="0"/>
        <w:spacing w:line="600" w:lineRule="exact"/>
        <w:ind w:firstLine="640" w:firstLineChars="200"/>
        <w:rPr>
          <w:rFonts w:hint="eastAsia" w:eastAsia="仿宋_GB2312"/>
          <w:snapToGrid w:val="0"/>
          <w:kern w:val="0"/>
          <w:sz w:val="32"/>
          <w:szCs w:val="32"/>
        </w:rPr>
      </w:pPr>
      <w:r>
        <w:rPr>
          <w:rFonts w:hint="eastAsia" w:eastAsia="仿宋_GB2312"/>
          <w:sz w:val="32"/>
          <w:szCs w:val="32"/>
        </w:rPr>
        <w:t>（三）落实并</w:t>
      </w:r>
      <w:r>
        <w:rPr>
          <w:rFonts w:eastAsia="仿宋_GB2312"/>
          <w:sz w:val="32"/>
          <w:szCs w:val="32"/>
        </w:rPr>
        <w:t>优化各项</w:t>
      </w:r>
      <w:r>
        <w:rPr>
          <w:rFonts w:hint="eastAsia" w:eastAsia="仿宋_GB2312"/>
          <w:sz w:val="32"/>
          <w:szCs w:val="32"/>
        </w:rPr>
        <w:t>水</w:t>
      </w:r>
      <w:r>
        <w:rPr>
          <w:rFonts w:eastAsia="仿宋_GB2312"/>
          <w:sz w:val="32"/>
          <w:szCs w:val="32"/>
        </w:rPr>
        <w:t>污染防</w:t>
      </w:r>
      <w:r>
        <w:rPr>
          <w:rFonts w:eastAsia="仿宋_GB2312"/>
          <w:snapToGrid w:val="0"/>
          <w:kern w:val="0"/>
          <w:sz w:val="32"/>
          <w:szCs w:val="32"/>
        </w:rPr>
        <w:t>治</w:t>
      </w:r>
      <w:r>
        <w:rPr>
          <w:rFonts w:hint="eastAsia" w:eastAsia="仿宋_GB2312"/>
          <w:snapToGrid w:val="0"/>
          <w:kern w:val="0"/>
          <w:sz w:val="32"/>
          <w:szCs w:val="32"/>
        </w:rPr>
        <w:t>措施。加强施工水污染防治管理，做好挡护措施，泥浆废水、设备冲洗废水、车辆冲洗水、隧洞涌水、钻孔废水、初期雨水等收集沉淀后回用，严禁污水、污泥等直接排入水体。</w:t>
      </w:r>
    </w:p>
    <w:p>
      <w:pPr>
        <w:pStyle w:val="2"/>
        <w:spacing w:line="600" w:lineRule="exact"/>
        <w:ind w:firstLine="643"/>
        <w:rPr>
          <w:rFonts w:hint="eastAsia" w:eastAsia="仿宋_GB2312"/>
          <w:kern w:val="0"/>
          <w:sz w:val="32"/>
          <w:szCs w:val="32"/>
          <w:shd w:val="clear" w:color="auto" w:fill="FFFFFF"/>
        </w:rPr>
      </w:pPr>
      <w:r>
        <w:rPr>
          <w:rFonts w:ascii="Times New Roman" w:eastAsia="仿宋_GB2312"/>
          <w:kern w:val="0"/>
          <w:sz w:val="32"/>
          <w:szCs w:val="32"/>
        </w:rPr>
        <w:t>项目</w:t>
      </w:r>
      <w:r>
        <w:rPr>
          <w:rFonts w:hint="eastAsia" w:ascii="Times New Roman" w:eastAsia="仿宋_GB2312"/>
          <w:kern w:val="0"/>
          <w:sz w:val="32"/>
          <w:szCs w:val="32"/>
        </w:rPr>
        <w:t>营运期尾矿库上游来水</w:t>
      </w:r>
      <w:r>
        <w:rPr>
          <w:rFonts w:ascii="Times New Roman" w:eastAsia="仿宋_GB2312"/>
          <w:kern w:val="0"/>
          <w:sz w:val="32"/>
          <w:szCs w:val="32"/>
        </w:rPr>
        <w:t>经截洪</w:t>
      </w:r>
      <w:r>
        <w:rPr>
          <w:rFonts w:hint="eastAsia" w:ascii="Times New Roman" w:eastAsia="仿宋_GB2312"/>
          <w:kern w:val="0"/>
          <w:sz w:val="32"/>
          <w:szCs w:val="32"/>
        </w:rPr>
        <w:t>坝</w:t>
      </w:r>
      <w:r>
        <w:rPr>
          <w:rFonts w:ascii="Times New Roman" w:eastAsia="仿宋_GB2312"/>
          <w:kern w:val="0"/>
          <w:sz w:val="32"/>
          <w:szCs w:val="32"/>
        </w:rPr>
        <w:t>+</w:t>
      </w:r>
      <w:r>
        <w:rPr>
          <w:rFonts w:hint="eastAsia" w:ascii="Times New Roman" w:eastAsia="仿宋_GB2312"/>
          <w:kern w:val="0"/>
          <w:sz w:val="32"/>
          <w:szCs w:val="32"/>
        </w:rPr>
        <w:t>竖井式</w:t>
      </w:r>
      <w:r>
        <w:rPr>
          <w:rFonts w:ascii="Times New Roman" w:eastAsia="仿宋_GB2312"/>
          <w:kern w:val="0"/>
          <w:sz w:val="32"/>
          <w:szCs w:val="32"/>
        </w:rPr>
        <w:t>溢洪道</w:t>
      </w:r>
      <w:r>
        <w:rPr>
          <w:rFonts w:hint="eastAsia" w:ascii="Times New Roman" w:eastAsia="仿宋_GB2312"/>
          <w:kern w:val="0"/>
          <w:sz w:val="32"/>
          <w:szCs w:val="32"/>
        </w:rPr>
        <w:t>+主排洪隧洞</w:t>
      </w:r>
      <w:r>
        <w:rPr>
          <w:rFonts w:ascii="Times New Roman" w:eastAsia="仿宋_GB2312"/>
          <w:kern w:val="0"/>
          <w:sz w:val="32"/>
          <w:szCs w:val="32"/>
        </w:rPr>
        <w:t>+消力池引流至下游龙塘沟排放；库内</w:t>
      </w:r>
      <w:r>
        <w:rPr>
          <w:rFonts w:hint="eastAsia" w:ascii="Times New Roman" w:eastAsia="仿宋_GB2312"/>
          <w:kern w:val="0"/>
          <w:sz w:val="32"/>
          <w:szCs w:val="32"/>
        </w:rPr>
        <w:t>雨水</w:t>
      </w:r>
      <w:r>
        <w:rPr>
          <w:rFonts w:ascii="Times New Roman" w:eastAsia="仿宋_GB2312"/>
          <w:kern w:val="0"/>
          <w:sz w:val="32"/>
          <w:szCs w:val="32"/>
        </w:rPr>
        <w:t>经</w:t>
      </w:r>
      <w:r>
        <w:rPr>
          <w:rFonts w:hint="eastAsia" w:ascii="Times New Roman" w:eastAsia="仿宋_GB2312"/>
          <w:kern w:val="0"/>
          <w:sz w:val="32"/>
          <w:szCs w:val="32"/>
        </w:rPr>
        <w:t>排水井+竖井+排洪支隧洞+主排洪隧洞</w:t>
      </w:r>
      <w:r>
        <w:rPr>
          <w:rFonts w:ascii="Times New Roman" w:eastAsia="仿宋_GB2312"/>
          <w:kern w:val="0"/>
          <w:sz w:val="32"/>
          <w:szCs w:val="32"/>
        </w:rPr>
        <w:t>+消力池</w:t>
      </w:r>
      <w:r>
        <w:rPr>
          <w:rFonts w:hint="eastAsia" w:ascii="Times New Roman" w:eastAsia="仿宋_GB2312"/>
          <w:kern w:val="0"/>
          <w:sz w:val="32"/>
          <w:szCs w:val="32"/>
        </w:rPr>
        <w:t>泵至尾矿库回水区，极端暴雨情况下，库内采用应急溢洪道排洪，经消力池泄能排入龙塘沟；尾矿库渗滤水经反向预埋排渗设施+消力池收集后，部分回用于库区控尘和绿化，其余部分泵至库尾回水区；</w:t>
      </w:r>
      <w:r>
        <w:rPr>
          <w:rFonts w:ascii="Times New Roman" w:eastAsia="仿宋_GB2312"/>
          <w:kern w:val="0"/>
          <w:sz w:val="32"/>
          <w:szCs w:val="32"/>
        </w:rPr>
        <w:t>尾矿库澄清水部分作为库内保有水，部分用于控尘和绿化，其余经回水管道回用于选厂生产。生活污水经化粪池处理后用于尾矿库周边绿化灌溉。</w:t>
      </w:r>
    </w:p>
    <w:p>
      <w:pPr>
        <w:spacing w:line="600" w:lineRule="exact"/>
        <w:ind w:firstLine="640" w:firstLineChars="200"/>
        <w:rPr>
          <w:rFonts w:hint="eastAsia" w:eastAsia="仿宋_GB2312"/>
          <w:snapToGrid w:val="0"/>
          <w:kern w:val="0"/>
          <w:sz w:val="32"/>
          <w:szCs w:val="32"/>
        </w:rPr>
      </w:pPr>
      <w:r>
        <w:rPr>
          <w:rFonts w:eastAsia="仿宋_GB2312"/>
          <w:kern w:val="0"/>
          <w:sz w:val="32"/>
          <w:szCs w:val="32"/>
          <w:shd w:val="clear" w:color="auto" w:fill="FFFFFF"/>
        </w:rPr>
        <w:t>（</w:t>
      </w:r>
      <w:r>
        <w:rPr>
          <w:rFonts w:hint="eastAsia" w:eastAsia="仿宋_GB2312"/>
          <w:kern w:val="0"/>
          <w:sz w:val="32"/>
          <w:szCs w:val="32"/>
          <w:shd w:val="clear" w:color="auto" w:fill="FFFFFF"/>
        </w:rPr>
        <w:t>四</w:t>
      </w:r>
      <w:r>
        <w:rPr>
          <w:rFonts w:eastAsia="仿宋_GB2312"/>
          <w:kern w:val="0"/>
          <w:sz w:val="32"/>
          <w:szCs w:val="32"/>
          <w:shd w:val="clear" w:color="auto" w:fill="FFFFFF"/>
        </w:rPr>
        <w:t>）</w:t>
      </w:r>
      <w:r>
        <w:rPr>
          <w:rFonts w:hint="eastAsia" w:eastAsia="仿宋_GB2312"/>
          <w:snapToGrid w:val="0"/>
          <w:kern w:val="0"/>
          <w:sz w:val="32"/>
          <w:szCs w:val="32"/>
        </w:rPr>
        <w:t>落实并优化</w:t>
      </w:r>
      <w:r>
        <w:rPr>
          <w:rFonts w:eastAsia="仿宋_GB2312"/>
          <w:snapToGrid w:val="0"/>
          <w:kern w:val="0"/>
          <w:sz w:val="32"/>
          <w:szCs w:val="32"/>
        </w:rPr>
        <w:t>各项大气污染防治</w:t>
      </w:r>
      <w:r>
        <w:rPr>
          <w:rFonts w:hint="eastAsia" w:eastAsia="仿宋_GB2312"/>
          <w:snapToGrid w:val="0"/>
          <w:kern w:val="0"/>
          <w:sz w:val="32"/>
          <w:szCs w:val="32"/>
        </w:rPr>
        <w:t>措施。加强施工期大气污染防治管理，混凝土搅拌产生的废气经布袋除尘器处理后，由15米高排气筒排放；采取洒水、遮盖、湿式作业等方式控制堆场、卸料、物料中转、土石方开挖、道路运输、隧道钻孔等施工产生的无组织扬尘。严格落实全市货运脏车整治要求，密闭运输物料、设置车辆冲洗区、建立车辆清洗台账、安装厂区出入口监控设施，做到脏车不出厂。</w:t>
      </w:r>
    </w:p>
    <w:p>
      <w:pPr>
        <w:widowControl/>
        <w:spacing w:line="600" w:lineRule="exact"/>
        <w:ind w:firstLine="640" w:firstLineChars="200"/>
        <w:rPr>
          <w:rFonts w:hint="eastAsia" w:eastAsia="仿宋_GB2312"/>
          <w:kern w:val="0"/>
          <w:sz w:val="32"/>
          <w:szCs w:val="32"/>
        </w:rPr>
      </w:pPr>
      <w:r>
        <w:rPr>
          <w:rFonts w:hint="eastAsia" w:eastAsia="仿宋_GB2312"/>
          <w:snapToGrid w:val="0"/>
          <w:kern w:val="0"/>
          <w:sz w:val="32"/>
          <w:szCs w:val="32"/>
        </w:rPr>
        <w:t>强化运营期大气污染防治，尾矿干</w:t>
      </w:r>
      <w:r>
        <w:rPr>
          <w:rFonts w:eastAsia="仿宋_GB2312"/>
          <w:kern w:val="0"/>
          <w:sz w:val="32"/>
          <w:szCs w:val="32"/>
        </w:rPr>
        <w:t>滩区</w:t>
      </w:r>
      <w:r>
        <w:rPr>
          <w:rFonts w:eastAsia="仿宋_GB2312"/>
          <w:sz w:val="32"/>
          <w:szCs w:val="32"/>
        </w:rPr>
        <w:t>设置4台移动式射雾器（射程80m）进行洒水控尘</w:t>
      </w:r>
      <w:r>
        <w:rPr>
          <w:rFonts w:hint="eastAsia" w:eastAsia="仿宋_GB2312"/>
          <w:sz w:val="32"/>
          <w:szCs w:val="32"/>
        </w:rPr>
        <w:t>。</w:t>
      </w:r>
      <w:r>
        <w:rPr>
          <w:rFonts w:eastAsia="仿宋_GB2312"/>
          <w:sz w:val="32"/>
          <w:szCs w:val="32"/>
        </w:rPr>
        <w:t>项目</w:t>
      </w:r>
      <w:r>
        <w:rPr>
          <w:rFonts w:eastAsia="仿宋_GB2312"/>
          <w:kern w:val="0"/>
          <w:sz w:val="32"/>
          <w:szCs w:val="32"/>
        </w:rPr>
        <w:t>设置的</w:t>
      </w:r>
      <w:bookmarkStart w:id="0" w:name="_Hlk504926913"/>
      <w:r>
        <w:rPr>
          <w:rFonts w:eastAsia="仿宋_GB2312"/>
          <w:kern w:val="0"/>
          <w:sz w:val="32"/>
          <w:szCs w:val="32"/>
        </w:rPr>
        <w:t>卫生防护距离为</w:t>
      </w:r>
      <w:bookmarkEnd w:id="0"/>
      <w:r>
        <w:rPr>
          <w:rFonts w:eastAsia="仿宋_GB2312"/>
          <w:kern w:val="0"/>
          <w:sz w:val="32"/>
          <w:szCs w:val="32"/>
        </w:rPr>
        <w:t>尾矿库边界外50m范围，</w:t>
      </w:r>
      <w:r>
        <w:rPr>
          <w:rFonts w:hint="eastAsia" w:eastAsia="仿宋_GB2312"/>
          <w:kern w:val="0"/>
          <w:sz w:val="32"/>
          <w:szCs w:val="32"/>
        </w:rPr>
        <w:t>该范围内现有</w:t>
      </w:r>
      <w:r>
        <w:rPr>
          <w:rFonts w:eastAsia="仿宋_GB2312"/>
          <w:kern w:val="0"/>
          <w:sz w:val="32"/>
          <w:szCs w:val="32"/>
        </w:rPr>
        <w:t>9户农户</w:t>
      </w:r>
      <w:r>
        <w:rPr>
          <w:rFonts w:hint="eastAsia" w:eastAsia="仿宋_GB2312"/>
          <w:kern w:val="0"/>
          <w:sz w:val="32"/>
          <w:szCs w:val="32"/>
        </w:rPr>
        <w:t>。建设单位应根据《关于</w:t>
      </w:r>
      <w:r>
        <w:rPr>
          <w:rFonts w:eastAsia="仿宋_GB2312"/>
          <w:sz w:val="32"/>
          <w:szCs w:val="32"/>
        </w:rPr>
        <w:t>米易元通铁钛有限责任公司龙塘沟尾矿库（二期）加高扩容工程</w:t>
      </w:r>
      <w:r>
        <w:rPr>
          <w:rFonts w:hint="eastAsia" w:eastAsia="仿宋_GB2312"/>
          <w:sz w:val="32"/>
          <w:szCs w:val="32"/>
        </w:rPr>
        <w:t>卫生防护距离及占地范围内农户搬迁的承诺函</w:t>
      </w:r>
      <w:r>
        <w:rPr>
          <w:rFonts w:hint="eastAsia" w:eastAsia="仿宋_GB2312"/>
          <w:kern w:val="0"/>
          <w:sz w:val="32"/>
          <w:szCs w:val="32"/>
        </w:rPr>
        <w:t>》，</w:t>
      </w:r>
      <w:r>
        <w:rPr>
          <w:rFonts w:eastAsia="仿宋_GB2312"/>
          <w:kern w:val="0"/>
          <w:sz w:val="32"/>
          <w:szCs w:val="32"/>
        </w:rPr>
        <w:t>按照有关拆迁安置法律法规和规范要求</w:t>
      </w:r>
      <w:r>
        <w:rPr>
          <w:rFonts w:hint="eastAsia" w:eastAsia="仿宋_GB2312"/>
          <w:kern w:val="0"/>
          <w:sz w:val="32"/>
          <w:szCs w:val="32"/>
        </w:rPr>
        <w:t>对卫生防护距离范围内敏感点</w:t>
      </w:r>
      <w:r>
        <w:rPr>
          <w:rFonts w:eastAsia="仿宋_GB2312"/>
          <w:kern w:val="0"/>
          <w:sz w:val="32"/>
          <w:szCs w:val="32"/>
        </w:rPr>
        <w:t>进行搬迁安置。今后该卫生防护距离范围内不得规划建设医院、学校和居民等敏感点建筑或设施，引进项目应注意与项目的环境相容性。</w:t>
      </w:r>
    </w:p>
    <w:p>
      <w:pPr>
        <w:spacing w:line="600" w:lineRule="exact"/>
        <w:ind w:firstLine="640" w:firstLineChars="200"/>
        <w:rPr>
          <w:rFonts w:hint="eastAsia" w:eastAsia="仿宋_GB2312"/>
          <w:snapToGrid w:val="0"/>
          <w:kern w:val="0"/>
          <w:sz w:val="32"/>
          <w:szCs w:val="32"/>
        </w:rPr>
      </w:pPr>
      <w:r>
        <w:rPr>
          <w:rFonts w:hint="eastAsia" w:eastAsia="仿宋_GB2312"/>
          <w:snapToGrid w:val="0"/>
          <w:kern w:val="0"/>
          <w:sz w:val="32"/>
          <w:szCs w:val="32"/>
        </w:rPr>
        <w:t>（五）落实并优化固废处置措施。施工期的开挖弃方用于周边土地平整，剥离表土须妥善保存用于项目绿化覆土。施工期和营运期的生活垃圾均统一交环卫部门清运处置。</w:t>
      </w:r>
    </w:p>
    <w:p>
      <w:pPr>
        <w:spacing w:line="600" w:lineRule="exact"/>
        <w:ind w:firstLine="640"/>
        <w:rPr>
          <w:rFonts w:eastAsia="仿宋_GB2312"/>
          <w:sz w:val="32"/>
          <w:szCs w:val="32"/>
        </w:rPr>
      </w:pPr>
      <w:r>
        <w:rPr>
          <w:rFonts w:eastAsia="仿宋_GB2312"/>
          <w:kern w:val="0"/>
          <w:sz w:val="32"/>
          <w:szCs w:val="32"/>
        </w:rPr>
        <w:t>（</w:t>
      </w:r>
      <w:r>
        <w:rPr>
          <w:rFonts w:hint="eastAsia" w:eastAsia="仿宋_GB2312"/>
          <w:kern w:val="0"/>
          <w:sz w:val="32"/>
          <w:szCs w:val="32"/>
        </w:rPr>
        <w:t>六</w:t>
      </w:r>
      <w:r>
        <w:rPr>
          <w:rFonts w:eastAsia="仿宋_GB2312"/>
          <w:kern w:val="0"/>
          <w:sz w:val="32"/>
          <w:szCs w:val="32"/>
        </w:rPr>
        <w:t>）</w:t>
      </w:r>
      <w:r>
        <w:rPr>
          <w:rFonts w:eastAsia="仿宋_GB2312"/>
          <w:kern w:val="0"/>
          <w:sz w:val="32"/>
          <w:szCs w:val="32"/>
          <w:shd w:val="clear" w:color="auto" w:fill="FFFFFF"/>
        </w:rPr>
        <w:t>落实并优化噪声治理措施。通过</w:t>
      </w:r>
      <w:r>
        <w:rPr>
          <w:rFonts w:eastAsia="仿宋_GB2312"/>
          <w:sz w:val="32"/>
        </w:rPr>
        <w:t>选用低噪声设备、定期维护、合理布局、减震</w:t>
      </w:r>
      <w:r>
        <w:rPr>
          <w:rFonts w:eastAsia="仿宋_GB2312"/>
          <w:kern w:val="0"/>
          <w:sz w:val="32"/>
          <w:szCs w:val="32"/>
        </w:rPr>
        <w:t>等防治措施，确保</w:t>
      </w:r>
      <w:r>
        <w:rPr>
          <w:rFonts w:eastAsia="仿宋_GB2312"/>
          <w:kern w:val="0"/>
          <w:sz w:val="32"/>
          <w:szCs w:val="32"/>
          <w:shd w:val="clear" w:color="auto" w:fill="FFFFFF"/>
        </w:rPr>
        <w:t>厂界噪声达标。</w:t>
      </w:r>
    </w:p>
    <w:p>
      <w:pPr>
        <w:spacing w:line="600" w:lineRule="exact"/>
        <w:ind w:firstLine="640" w:firstLineChars="200"/>
        <w:rPr>
          <w:rFonts w:hint="eastAsia" w:eastAsia="仿宋_GB2312"/>
          <w:snapToGrid w:val="0"/>
          <w:kern w:val="0"/>
          <w:sz w:val="32"/>
          <w:szCs w:val="32"/>
        </w:rPr>
      </w:pPr>
      <w:r>
        <w:rPr>
          <w:rFonts w:eastAsia="仿宋_GB2312"/>
          <w:snapToGrid w:val="0"/>
          <w:kern w:val="0"/>
          <w:sz w:val="32"/>
          <w:szCs w:val="32"/>
        </w:rPr>
        <w:t>（</w:t>
      </w:r>
      <w:r>
        <w:rPr>
          <w:rFonts w:hint="eastAsia" w:eastAsia="仿宋_GB2312"/>
          <w:snapToGrid w:val="0"/>
          <w:kern w:val="0"/>
          <w:sz w:val="32"/>
          <w:szCs w:val="32"/>
        </w:rPr>
        <w:t>七</w:t>
      </w:r>
      <w:r>
        <w:rPr>
          <w:rFonts w:eastAsia="仿宋_GB2312"/>
          <w:snapToGrid w:val="0"/>
          <w:kern w:val="0"/>
          <w:sz w:val="32"/>
          <w:szCs w:val="32"/>
        </w:rPr>
        <w:t>）</w:t>
      </w:r>
      <w:r>
        <w:rPr>
          <w:rFonts w:hint="eastAsia" w:eastAsia="仿宋_GB2312"/>
          <w:snapToGrid w:val="0"/>
          <w:kern w:val="0"/>
          <w:sz w:val="32"/>
          <w:szCs w:val="32"/>
        </w:rPr>
        <w:t>落实生态防护措施。加强施工期管理和宣传教育，保护野生动物及其生境，</w:t>
      </w:r>
      <w:r>
        <w:rPr>
          <w:rFonts w:hint="eastAsia" w:eastAsia="仿宋_GB2312"/>
          <w:sz w:val="32"/>
          <w:szCs w:val="32"/>
        </w:rPr>
        <w:t>禁止对其进行猎杀；</w:t>
      </w:r>
      <w:r>
        <w:rPr>
          <w:rFonts w:hint="eastAsia" w:eastAsia="仿宋_GB2312"/>
          <w:snapToGrid w:val="0"/>
          <w:kern w:val="0"/>
          <w:sz w:val="32"/>
          <w:szCs w:val="32"/>
        </w:rPr>
        <w:t>导流渠施工应在枯水期进行，尽量降低工程建设对水生生物的影响；采取短开挖、强支护、快循环等方式减缓隧洞施工时的生态影响；修建排水沟、沉砂池、表土堆场、覆盖等方式降低施工期的水土流失；施工期结束后拆除搅拌站，清理场地，恢复植被。</w:t>
      </w:r>
    </w:p>
    <w:p>
      <w:pPr>
        <w:spacing w:line="600" w:lineRule="exact"/>
        <w:ind w:firstLine="640" w:firstLineChars="200"/>
        <w:rPr>
          <w:rFonts w:hint="eastAsia" w:eastAsia="仿宋_GB2312"/>
          <w:snapToGrid w:val="0"/>
          <w:kern w:val="0"/>
          <w:sz w:val="32"/>
          <w:szCs w:val="32"/>
        </w:rPr>
      </w:pPr>
      <w:r>
        <w:rPr>
          <w:rFonts w:eastAsia="仿宋_GB2312"/>
          <w:snapToGrid w:val="0"/>
          <w:kern w:val="0"/>
          <w:sz w:val="32"/>
          <w:szCs w:val="32"/>
        </w:rPr>
        <w:t>营运期</w:t>
      </w:r>
      <w:r>
        <w:rPr>
          <w:rFonts w:hint="eastAsia" w:eastAsia="仿宋_GB2312"/>
          <w:snapToGrid w:val="0"/>
          <w:kern w:val="0"/>
          <w:sz w:val="32"/>
          <w:szCs w:val="32"/>
        </w:rPr>
        <w:t>堆积子坝达到设计标高后立即实施覆土绿化，服务期满后，严格按照封场要求和土地复垦方案进行复垦，复垦时宜选择本地植物。</w:t>
      </w:r>
    </w:p>
    <w:p>
      <w:pPr>
        <w:spacing w:line="600" w:lineRule="exact"/>
        <w:ind w:firstLine="640" w:firstLineChars="200"/>
        <w:rPr>
          <w:rFonts w:hint="eastAsia" w:eastAsia="仿宋_GB2312"/>
          <w:snapToGrid w:val="0"/>
          <w:kern w:val="0"/>
          <w:sz w:val="32"/>
          <w:szCs w:val="32"/>
        </w:rPr>
      </w:pPr>
      <w:r>
        <w:rPr>
          <w:rFonts w:hint="eastAsia" w:eastAsia="仿宋_GB2312"/>
          <w:snapToGrid w:val="0"/>
          <w:kern w:val="0"/>
          <w:sz w:val="32"/>
          <w:szCs w:val="32"/>
        </w:rPr>
        <w:t>（八）隧洞工程施工前要详细调查当地水文地质资料，</w:t>
      </w:r>
      <w:r>
        <w:rPr>
          <w:rFonts w:eastAsia="仿宋_GB2312"/>
          <w:snapToGrid w:val="0"/>
          <w:kern w:val="0"/>
          <w:sz w:val="32"/>
          <w:szCs w:val="32"/>
        </w:rPr>
        <w:t>做到先探后掘，应优化隧道施工工艺，开展地下水环境监控，采取可靠的工程措施或绕避措施，制定完善的应急预案，减缓对地表植被和地下含水层造成的不利影响。</w:t>
      </w:r>
    </w:p>
    <w:p>
      <w:pPr>
        <w:widowControl/>
        <w:spacing w:line="600" w:lineRule="exact"/>
        <w:ind w:firstLine="640" w:firstLineChars="200"/>
        <w:rPr>
          <w:rFonts w:hint="eastAsia" w:eastAsia="仿宋_GB2312"/>
          <w:sz w:val="32"/>
          <w:szCs w:val="32"/>
        </w:rPr>
      </w:pPr>
      <w:r>
        <w:rPr>
          <w:rFonts w:eastAsia="仿宋_GB2312"/>
          <w:sz w:val="32"/>
          <w:szCs w:val="32"/>
        </w:rPr>
        <w:t>（</w:t>
      </w:r>
      <w:r>
        <w:rPr>
          <w:rFonts w:hint="eastAsia" w:eastAsia="仿宋_GB2312"/>
          <w:snapToGrid w:val="0"/>
          <w:kern w:val="0"/>
          <w:sz w:val="32"/>
          <w:szCs w:val="32"/>
        </w:rPr>
        <w:t>九</w:t>
      </w:r>
      <w:r>
        <w:rPr>
          <w:rFonts w:eastAsia="仿宋_GB2312"/>
          <w:sz w:val="32"/>
          <w:szCs w:val="32"/>
        </w:rPr>
        <w:t>）高度重视环境风险防范工作。全面落实报告书提出的各项风险防范措施，强化环境风险管理工作，确</w:t>
      </w:r>
      <w:r>
        <w:rPr>
          <w:rFonts w:eastAsia="仿宋_GB2312"/>
          <w:bCs/>
          <w:snapToGrid w:val="0"/>
          <w:sz w:val="32"/>
          <w:szCs w:val="32"/>
        </w:rPr>
        <w:t>保尾矿库安全稳定运行和</w:t>
      </w:r>
      <w:r>
        <w:rPr>
          <w:rFonts w:eastAsia="仿宋_GB2312"/>
          <w:sz w:val="32"/>
          <w:szCs w:val="32"/>
        </w:rPr>
        <w:t>环境安全。制定有针对性和操作性的突发环境事件应急预案，适时开展应急演练，保证出现事故能得到及时、有效处理。</w:t>
      </w:r>
      <w:r>
        <w:rPr>
          <w:rFonts w:hint="eastAsia" w:eastAsia="仿宋_GB2312"/>
          <w:snapToGrid w:val="0"/>
          <w:kern w:val="0"/>
          <w:sz w:val="32"/>
          <w:szCs w:val="32"/>
        </w:rPr>
        <w:t>严格落实环境监测计划，</w:t>
      </w:r>
      <w:r>
        <w:rPr>
          <w:rFonts w:eastAsia="仿宋_GB2312"/>
          <w:sz w:val="32"/>
          <w:szCs w:val="32"/>
        </w:rPr>
        <w:t>建立健全环境管理机制和环保规章制度，落实岗位环保责任制，加强污染治理设施的日常运行维护管理及巡查检查，确保污染物稳定达标排放。</w:t>
      </w:r>
    </w:p>
    <w:p>
      <w:pPr>
        <w:spacing w:line="600" w:lineRule="exact"/>
        <w:ind w:firstLine="640" w:firstLineChars="200"/>
        <w:rPr>
          <w:rFonts w:eastAsia="仿宋_GB2312"/>
          <w:kern w:val="0"/>
          <w:sz w:val="32"/>
          <w:szCs w:val="32"/>
        </w:rPr>
      </w:pPr>
      <w:r>
        <w:rPr>
          <w:rFonts w:eastAsia="仿宋_GB2312"/>
          <w:snapToGrid w:val="0"/>
          <w:kern w:val="0"/>
          <w:sz w:val="32"/>
          <w:szCs w:val="32"/>
        </w:rPr>
        <w:t>（</w:t>
      </w:r>
      <w:r>
        <w:rPr>
          <w:rFonts w:hint="eastAsia" w:eastAsia="仿宋_GB2312"/>
          <w:snapToGrid w:val="0"/>
          <w:kern w:val="0"/>
          <w:sz w:val="32"/>
          <w:szCs w:val="32"/>
        </w:rPr>
        <w:t>十</w:t>
      </w:r>
      <w:r>
        <w:rPr>
          <w:rFonts w:eastAsia="仿宋_GB2312"/>
          <w:snapToGrid w:val="0"/>
          <w:kern w:val="0"/>
          <w:sz w:val="32"/>
          <w:szCs w:val="32"/>
        </w:rPr>
        <w:t>）加强公众参与。项目在建设及运行管理中，应根据公众的反映，进一步加强与公众的沟通，以适当、稳妥、有效的方式，切实做好宣传、解释、维稳工作，及时解决公众提出的合理环境诉求，避免因公众参与工作落实不到位、相关环保措施不落实，导致环境纠纷和社会稳定问题。</w:t>
      </w:r>
    </w:p>
    <w:p>
      <w:pPr>
        <w:spacing w:line="600" w:lineRule="exact"/>
        <w:ind w:firstLine="640" w:firstLineChars="200"/>
        <w:rPr>
          <w:rFonts w:hint="eastAsia" w:eastAsia="仿宋_GB2312"/>
          <w:snapToGrid w:val="0"/>
          <w:kern w:val="0"/>
          <w:sz w:val="32"/>
          <w:szCs w:val="32"/>
        </w:rPr>
      </w:pPr>
      <w:r>
        <w:rPr>
          <w:rFonts w:eastAsia="仿宋_GB2312"/>
          <w:snapToGrid w:val="0"/>
          <w:kern w:val="0"/>
          <w:sz w:val="32"/>
          <w:szCs w:val="32"/>
        </w:rPr>
        <w:t>三、</w:t>
      </w:r>
      <w:r>
        <w:rPr>
          <w:rFonts w:hint="eastAsia" w:eastAsia="仿宋_GB2312"/>
          <w:snapToGrid w:val="0"/>
          <w:kern w:val="0"/>
          <w:sz w:val="32"/>
          <w:szCs w:val="32"/>
        </w:rPr>
        <w:t>项目开工建设前，应依法完备其他行政许可手续。后续国家法律、法规及政策对本项目有最新的要求应严格按照相关要求执行。</w:t>
      </w:r>
    </w:p>
    <w:p>
      <w:pPr>
        <w:spacing w:line="600" w:lineRule="exact"/>
        <w:ind w:firstLine="630"/>
        <w:rPr>
          <w:rFonts w:eastAsia="仿宋_GB2312"/>
          <w:sz w:val="32"/>
          <w:szCs w:val="32"/>
        </w:rPr>
      </w:pPr>
      <w:r>
        <w:rPr>
          <w:rFonts w:hint="eastAsia" w:eastAsia="仿宋_GB2312"/>
          <w:snapToGrid w:val="0"/>
          <w:kern w:val="0"/>
          <w:sz w:val="32"/>
          <w:szCs w:val="32"/>
        </w:rPr>
        <w:t>四</w:t>
      </w:r>
      <w:r>
        <w:rPr>
          <w:rFonts w:eastAsia="仿宋_GB2312"/>
          <w:snapToGrid w:val="0"/>
          <w:kern w:val="0"/>
          <w:sz w:val="32"/>
          <w:szCs w:val="32"/>
        </w:rPr>
        <w:t>、</w:t>
      </w:r>
      <w:r>
        <w:rPr>
          <w:rFonts w:eastAsia="仿宋_GB2312"/>
          <w:sz w:val="32"/>
          <w:szCs w:val="32"/>
        </w:rPr>
        <w:t>项目在实施中必须依法严格执行环保“三同时”制度。项目竣工后，必须按规定程序开展环境保护验收，验收合格后方可投入使用。项目环境影响评价文件经批准后，如工程的性质、规模和地点或者防治污染、防止生态破坏的措施发生重大变化的，建设单位应当重新报批环境影响评价文件，否则不得实施。自环评批复文件批复之日起，如工程超过5年未开工建设，环境影响评价文件应当报我局重新审核。</w:t>
      </w:r>
    </w:p>
    <w:p>
      <w:pPr>
        <w:spacing w:line="600" w:lineRule="exact"/>
        <w:ind w:firstLine="630"/>
        <w:rPr>
          <w:rFonts w:eastAsia="仿宋_GB2312"/>
          <w:sz w:val="32"/>
          <w:szCs w:val="32"/>
        </w:rPr>
      </w:pPr>
      <w:r>
        <w:rPr>
          <w:rFonts w:eastAsia="仿宋_GB2312"/>
          <w:sz w:val="32"/>
          <w:szCs w:val="32"/>
        </w:rPr>
        <w:t>五、请市生态环境保护综合行政执法支队和米易生态环境局加强对该项目的监督管理。</w:t>
      </w:r>
    </w:p>
    <w:p>
      <w:pPr>
        <w:spacing w:line="600" w:lineRule="exact"/>
        <w:ind w:firstLine="630"/>
        <w:rPr>
          <w:rFonts w:eastAsia="仿宋_GB2312"/>
          <w:sz w:val="32"/>
          <w:szCs w:val="32"/>
        </w:rPr>
      </w:pPr>
    </w:p>
    <w:p>
      <w:pPr>
        <w:spacing w:line="600" w:lineRule="exact"/>
        <w:ind w:firstLine="630"/>
        <w:rPr>
          <w:rFonts w:eastAsia="仿宋_GB2312"/>
          <w:sz w:val="32"/>
          <w:szCs w:val="32"/>
        </w:rPr>
      </w:pPr>
    </w:p>
    <w:p>
      <w:pPr>
        <w:wordWrap w:val="0"/>
        <w:spacing w:line="600" w:lineRule="exact"/>
        <w:ind w:firstLine="630"/>
        <w:jc w:val="right"/>
        <w:rPr>
          <w:rFonts w:eastAsia="仿宋_GB2312"/>
          <w:sz w:val="32"/>
          <w:szCs w:val="32"/>
        </w:rPr>
      </w:pPr>
      <w:r>
        <w:rPr>
          <w:rFonts w:eastAsia="仿宋_GB2312"/>
          <w:sz w:val="32"/>
          <w:szCs w:val="32"/>
        </w:rPr>
        <w:t xml:space="preserve">攀枝花市生态环境局       </w:t>
      </w:r>
    </w:p>
    <w:p>
      <w:pPr>
        <w:spacing w:line="600" w:lineRule="exact"/>
        <w:ind w:firstLine="630"/>
        <w:rPr>
          <w:rFonts w:eastAsia="仿宋_GB2312"/>
          <w:sz w:val="32"/>
          <w:szCs w:val="32"/>
        </w:rPr>
      </w:pPr>
      <w:r>
        <w:rPr>
          <w:rFonts w:eastAsia="仿宋_GB2312"/>
          <w:sz w:val="32"/>
          <w:szCs w:val="32"/>
        </w:rPr>
        <w:t xml:space="preserve">                       </w:t>
      </w:r>
      <w:r>
        <w:rPr>
          <w:rFonts w:hint="eastAsia" w:eastAsia="仿宋_GB2312"/>
          <w:sz w:val="32"/>
          <w:szCs w:val="32"/>
        </w:rPr>
        <w:t xml:space="preserve"> </w:t>
      </w:r>
      <w:r>
        <w:rPr>
          <w:rFonts w:eastAsia="仿宋_GB2312"/>
          <w:sz w:val="32"/>
          <w:szCs w:val="32"/>
        </w:rPr>
        <w:t>2021年2月2</w:t>
      </w:r>
      <w:r>
        <w:rPr>
          <w:rFonts w:hint="eastAsia" w:eastAsia="仿宋_GB2312"/>
          <w:sz w:val="32"/>
          <w:szCs w:val="32"/>
        </w:rPr>
        <w:t>4</w:t>
      </w:r>
      <w:r>
        <w:rPr>
          <w:rFonts w:eastAsia="仿宋_GB2312"/>
          <w:sz w:val="32"/>
          <w:szCs w:val="32"/>
        </w:rPr>
        <w:t>日</w:t>
      </w:r>
    </w:p>
    <w:p>
      <w:pPr>
        <w:snapToGrid w:val="0"/>
        <w:spacing w:line="240" w:lineRule="exact"/>
        <w:jc w:val="right"/>
        <w:rPr>
          <w:rFonts w:hint="eastAsia" w:ascii="仿宋_GB2312" w:eastAsia="仿宋_GB2312"/>
          <w:sz w:val="32"/>
          <w:szCs w:val="32"/>
        </w:rPr>
      </w:pPr>
    </w:p>
    <w:p>
      <w:pPr>
        <w:snapToGrid w:val="0"/>
        <w:spacing w:line="240" w:lineRule="exact"/>
        <w:jc w:val="right"/>
        <w:rPr>
          <w:rFonts w:hint="eastAsia" w:ascii="仿宋_GB2312" w:eastAsia="仿宋_GB2312"/>
          <w:sz w:val="32"/>
          <w:szCs w:val="32"/>
        </w:rPr>
      </w:pPr>
    </w:p>
    <w:p>
      <w:pPr>
        <w:snapToGrid w:val="0"/>
        <w:spacing w:line="240" w:lineRule="exact"/>
        <w:jc w:val="right"/>
        <w:rPr>
          <w:rFonts w:hint="eastAsia" w:ascii="仿宋_GB2312" w:eastAsia="仿宋_GB2312"/>
          <w:sz w:val="32"/>
          <w:szCs w:val="32"/>
        </w:rPr>
      </w:pPr>
    </w:p>
    <w:p>
      <w:pPr>
        <w:snapToGrid w:val="0"/>
        <w:spacing w:line="240" w:lineRule="exact"/>
        <w:jc w:val="right"/>
        <w:rPr>
          <w:rFonts w:hint="eastAsia" w:ascii="仿宋_GB2312" w:eastAsia="仿宋_GB2312"/>
          <w:sz w:val="32"/>
          <w:szCs w:val="32"/>
        </w:rPr>
      </w:pPr>
    </w:p>
    <w:p>
      <w:pPr>
        <w:snapToGrid w:val="0"/>
        <w:spacing w:line="240" w:lineRule="exact"/>
        <w:jc w:val="right"/>
        <w:rPr>
          <w:rFonts w:hint="eastAsia" w:ascii="仿宋_GB2312" w:eastAsia="仿宋_GB2312"/>
          <w:sz w:val="32"/>
          <w:szCs w:val="32"/>
        </w:rPr>
      </w:pPr>
    </w:p>
    <w:p>
      <w:pPr>
        <w:snapToGrid w:val="0"/>
        <w:spacing w:line="240" w:lineRule="exact"/>
        <w:jc w:val="right"/>
        <w:rPr>
          <w:rFonts w:hint="eastAsia" w:ascii="仿宋_GB2312" w:eastAsia="仿宋_GB2312"/>
          <w:sz w:val="32"/>
          <w:szCs w:val="32"/>
        </w:rPr>
      </w:pPr>
    </w:p>
    <w:p>
      <w:pPr>
        <w:snapToGrid w:val="0"/>
        <w:spacing w:line="240" w:lineRule="exact"/>
        <w:jc w:val="right"/>
        <w:rPr>
          <w:rFonts w:hint="eastAsia" w:ascii="仿宋_GB2312" w:eastAsia="仿宋_GB2312"/>
          <w:sz w:val="32"/>
          <w:szCs w:val="32"/>
        </w:rPr>
      </w:pPr>
    </w:p>
    <w:p>
      <w:pPr>
        <w:snapToGrid w:val="0"/>
        <w:spacing w:line="240" w:lineRule="exact"/>
        <w:jc w:val="right"/>
        <w:rPr>
          <w:rFonts w:hint="eastAsia" w:ascii="仿宋_GB2312" w:eastAsia="仿宋_GB2312"/>
          <w:sz w:val="32"/>
          <w:szCs w:val="32"/>
        </w:rPr>
      </w:pPr>
    </w:p>
    <w:p>
      <w:pPr>
        <w:snapToGrid w:val="0"/>
        <w:spacing w:line="240" w:lineRule="exact"/>
        <w:jc w:val="right"/>
        <w:rPr>
          <w:rFonts w:hint="eastAsia" w:ascii="仿宋_GB2312" w:eastAsia="仿宋_GB2312"/>
          <w:sz w:val="32"/>
          <w:szCs w:val="32"/>
        </w:rPr>
      </w:pPr>
    </w:p>
    <w:p>
      <w:pPr>
        <w:snapToGrid w:val="0"/>
        <w:spacing w:line="240" w:lineRule="exact"/>
        <w:jc w:val="right"/>
        <w:rPr>
          <w:rFonts w:hint="eastAsia" w:ascii="仿宋_GB2312" w:eastAsia="仿宋_GB2312"/>
          <w:sz w:val="32"/>
          <w:szCs w:val="32"/>
        </w:rPr>
      </w:pPr>
    </w:p>
    <w:p>
      <w:pPr>
        <w:snapToGrid w:val="0"/>
        <w:spacing w:line="240" w:lineRule="exact"/>
        <w:jc w:val="right"/>
        <w:rPr>
          <w:rFonts w:hint="eastAsia" w:ascii="仿宋_GB2312" w:eastAsia="仿宋_GB2312"/>
          <w:sz w:val="32"/>
          <w:szCs w:val="32"/>
        </w:rPr>
      </w:pPr>
    </w:p>
    <w:p>
      <w:pPr>
        <w:rPr>
          <w:rFonts w:eastAsia="仿宋_GB2312"/>
        </w:rPr>
      </w:pPr>
      <w:r>
        <w:rPr>
          <w:rFonts w:eastAsia="仿宋_GB2312"/>
          <w:sz w:val="32"/>
          <w:szCs w:val="32"/>
        </w:rPr>
        <w:pict>
          <v:line id="_x0000_s2050" o:spid="_x0000_s2050" o:spt="20" style="position:absolute;left:0pt;margin-left:-9pt;margin-top:552.75pt;height:0pt;width:425.25pt;z-index:251660288;mso-width-relative:page;mso-height-relative:page;" stroked="t" coordsize="21600,21600">
            <v:path arrowok="t"/>
            <v:fill focussize="0,0"/>
            <v:stroke weight="3pt" color="#FF0000"/>
            <v:imagedata o:title=""/>
            <o:lock v:ext="edit"/>
          </v:line>
        </w:pict>
      </w:r>
      <w:r>
        <w:rPr>
          <w:rFonts w:eastAsia="仿宋_GB2312"/>
          <w:sz w:val="32"/>
          <w:szCs w:val="32"/>
        </w:rPr>
        <w:pict>
          <v:line id="_x0000_s2051" o:spid="_x0000_s2051" o:spt="20" style="position:absolute;left:0pt;flip:y;margin-left:-9pt;margin-top:548.6pt;height:0.4pt;width:425.25pt;z-index:251661312;mso-width-relative:page;mso-height-relative:page;" stroked="t" coordsize="21600,21600">
            <v:path arrowok="t"/>
            <v:fill focussize="0,0"/>
            <v:stroke weight="1.25pt" color="#FF0000"/>
            <v:imagedata o:title=""/>
            <o:lock v:ext="edit"/>
          </v:line>
        </w:pict>
      </w:r>
    </w:p>
    <w:sectPr>
      <w:headerReference r:id="rId3" w:type="default"/>
      <w:footerReference r:id="rId4" w:type="default"/>
      <w:footerReference r:id="rId5" w:type="even"/>
      <w:pgSz w:w="11906" w:h="16838"/>
      <w:pgMar w:top="1440" w:right="1797" w:bottom="1440" w:left="1797"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方正小标宋_GBK">
    <w:panose1 w:val="02000000000000000000"/>
    <w:charset w:val="86"/>
    <w:family w:val="script"/>
    <w:pitch w:val="default"/>
    <w:sig w:usb0="00000001" w:usb1="0800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华文中宋">
    <w:altName w:val="汉仪中宋简"/>
    <w:panose1 w:val="02010600040101010101"/>
    <w:charset w:val="86"/>
    <w:family w:val="auto"/>
    <w:pitch w:val="default"/>
    <w:sig w:usb0="00000000" w:usb1="00000000" w:usb2="00000010" w:usb3="00000000" w:csb0="0004009F"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ind w:firstLine="240" w:firstLineChars="100"/>
      <w:rPr>
        <w:rStyle w:val="7"/>
        <w:rFonts w:ascii="宋体" w:hAnsi="宋体"/>
        <w:sz w:val="24"/>
        <w:szCs w:val="24"/>
      </w:rPr>
    </w:pPr>
    <w:r>
      <w:rPr>
        <w:rFonts w:hint="eastAsia" w:ascii="宋体" w:hAnsi="宋体"/>
        <w:sz w:val="24"/>
        <w:szCs w:val="24"/>
      </w:rPr>
      <w:t>—</w:t>
    </w:r>
    <w:r>
      <w:rPr>
        <w:rFonts w:ascii="宋体" w:hAnsi="宋体"/>
        <w:sz w:val="24"/>
        <w:szCs w:val="24"/>
      </w:rPr>
      <w:fldChar w:fldCharType="begin"/>
    </w:r>
    <w:r>
      <w:rPr>
        <w:rStyle w:val="7"/>
        <w:rFonts w:ascii="宋体" w:hAnsi="宋体"/>
        <w:sz w:val="24"/>
        <w:szCs w:val="24"/>
      </w:rPr>
      <w:instrText xml:space="preserve">PAGE  </w:instrText>
    </w:r>
    <w:r>
      <w:rPr>
        <w:rFonts w:ascii="宋体" w:hAnsi="宋体"/>
        <w:sz w:val="24"/>
        <w:szCs w:val="24"/>
      </w:rPr>
      <w:fldChar w:fldCharType="separate"/>
    </w:r>
    <w:r>
      <w:rPr>
        <w:rStyle w:val="7"/>
        <w:rFonts w:ascii="宋体" w:hAnsi="宋体"/>
        <w:sz w:val="24"/>
        <w:szCs w:val="24"/>
      </w:rPr>
      <w:t>6</w:t>
    </w:r>
    <w:r>
      <w:rPr>
        <w:rFonts w:ascii="宋体" w:hAnsi="宋体"/>
        <w:sz w:val="24"/>
        <w:szCs w:val="24"/>
      </w:rPr>
      <w:fldChar w:fldCharType="end"/>
    </w:r>
    <w:r>
      <w:rPr>
        <w:rFonts w:hint="eastAsia" w:ascii="宋体" w:hAnsi="宋体"/>
        <w:sz w:val="24"/>
        <w:szCs w:val="24"/>
      </w:rPr>
      <w:t>—</w:t>
    </w:r>
  </w:p>
  <w:p>
    <w:pPr>
      <w:pStyle w:val="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7"/>
      </w:rPr>
    </w:pPr>
    <w:r>
      <w:fldChar w:fldCharType="begin"/>
    </w:r>
    <w:r>
      <w:rPr>
        <w:rStyle w:val="7"/>
      </w:rPr>
      <w:instrText xml:space="preserve">PAGE  </w:instrText>
    </w:r>
    <w:r>
      <w:fldChar w:fldCharType="separate"/>
    </w:r>
    <w:r>
      <w:fldChar w:fldCharType="end"/>
    </w:r>
  </w:p>
  <w:p>
    <w:pPr>
      <w:pStyle w:val="3"/>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3"/>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6E70A6"/>
    <w:rsid w:val="006E70A6"/>
    <w:rsid w:val="00882C98"/>
    <w:rsid w:val="00FB3330"/>
    <w:rsid w:val="00FF68DD"/>
    <w:rsid w:val="417306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10"/>
    <w:qFormat/>
    <w:uiPriority w:val="0"/>
    <w:pPr>
      <w:autoSpaceDE w:val="0"/>
      <w:autoSpaceDN w:val="0"/>
      <w:adjustRightInd w:val="0"/>
      <w:spacing w:line="360" w:lineRule="atLeast"/>
      <w:jc w:val="left"/>
      <w:textAlignment w:val="baseline"/>
    </w:pPr>
    <w:rPr>
      <w:rFonts w:ascii="宋体"/>
      <w:color w:val="000000"/>
      <w:sz w:val="24"/>
    </w:rPr>
  </w:style>
  <w:style w:type="paragraph" w:styleId="3">
    <w:name w:val="footer"/>
    <w:basedOn w:val="1"/>
    <w:link w:val="9"/>
    <w:unhideWhenUsed/>
    <w:qFormat/>
    <w:uiPriority w:val="0"/>
    <w:pPr>
      <w:tabs>
        <w:tab w:val="center" w:pos="4153"/>
        <w:tab w:val="right" w:pos="8306"/>
      </w:tabs>
      <w:snapToGrid w:val="0"/>
      <w:jc w:val="left"/>
    </w:pPr>
    <w:rPr>
      <w:sz w:val="18"/>
      <w:szCs w:val="18"/>
    </w:rPr>
  </w:style>
  <w:style w:type="paragraph" w:styleId="4">
    <w:name w:val="header"/>
    <w:basedOn w:val="1"/>
    <w:link w:val="8"/>
    <w:unhideWhenUsed/>
    <w:qFormat/>
    <w:uiPriority w:val="0"/>
    <w:pPr>
      <w:pBdr>
        <w:bottom w:val="single" w:color="auto" w:sz="6" w:space="1"/>
      </w:pBdr>
      <w:tabs>
        <w:tab w:val="center" w:pos="4153"/>
        <w:tab w:val="right" w:pos="8306"/>
      </w:tabs>
      <w:snapToGrid w:val="0"/>
      <w:jc w:val="center"/>
    </w:pPr>
    <w:rPr>
      <w:sz w:val="18"/>
      <w:szCs w:val="18"/>
    </w:rPr>
  </w:style>
  <w:style w:type="character" w:styleId="7">
    <w:name w:val="page number"/>
    <w:basedOn w:val="6"/>
    <w:qFormat/>
    <w:uiPriority w:val="0"/>
  </w:style>
  <w:style w:type="character" w:customStyle="1" w:styleId="8">
    <w:name w:val="页眉 Char"/>
    <w:basedOn w:val="6"/>
    <w:link w:val="4"/>
    <w:semiHidden/>
    <w:qFormat/>
    <w:uiPriority w:val="99"/>
    <w:rPr>
      <w:sz w:val="18"/>
      <w:szCs w:val="18"/>
    </w:rPr>
  </w:style>
  <w:style w:type="character" w:customStyle="1" w:styleId="9">
    <w:name w:val="页脚 Char"/>
    <w:basedOn w:val="6"/>
    <w:link w:val="3"/>
    <w:semiHidden/>
    <w:qFormat/>
    <w:uiPriority w:val="99"/>
    <w:rPr>
      <w:sz w:val="18"/>
      <w:szCs w:val="18"/>
    </w:rPr>
  </w:style>
  <w:style w:type="character" w:customStyle="1" w:styleId="10">
    <w:name w:val="正文文本 Char"/>
    <w:basedOn w:val="6"/>
    <w:link w:val="2"/>
    <w:qFormat/>
    <w:uiPriority w:val="0"/>
    <w:rPr>
      <w:rFonts w:ascii="宋体" w:hAnsi="Times New Roman" w:eastAsia="宋体" w:cs="Times New Roman"/>
      <w:color w:val="000000"/>
      <w:sz w:val="24"/>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50"/>
    <customShpInfo spid="_x0000_s205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P R C</Company>
  <Pages>6</Pages>
  <Words>456</Words>
  <Characters>2603</Characters>
  <Lines>21</Lines>
  <Paragraphs>6</Paragraphs>
  <TotalTime>2</TotalTime>
  <ScaleCrop>false</ScaleCrop>
  <LinksUpToDate>false</LinksUpToDate>
  <CharactersWithSpaces>3053</CharactersWithSpaces>
  <Application>WPS Office_11.8.2.10290_F1E327BC-269C-435d-A152-05C5408002CA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2021-02-26T16:51:00Z</dcterms:created>
  <dc:creator>雍兰</dc:creator>
  <cp:lastModifiedBy>user</cp:lastModifiedBy>
  <dcterms:modified xsi:type="dcterms:W3CDTF">2023-08-09T11:24:23Z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2052-11.8.2.10290</vt:lpwstr>
  </property>
</Properties>
</file>