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攀枝花市西区清香坪大水井片区（清香坪单元、大水井单元）中井D36-R21等地块规划调整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事宜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一、规划调整申请主体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攀枝花市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二、规划调整区域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本次规划调整范围位于西区主城核心区，涉及《攀枝花市西区清香坪大水井片区（清香坪单元、大水井单元）控制性详细规划》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内井</w:t>
      </w:r>
      <w:r>
        <w:rPr>
          <w:rFonts w:hint="eastAsia" w:ascii="仿宋_GB2312" w:hAnsi="仿宋_GB2312" w:eastAsia="仿宋_GB2312" w:cs="仿宋_GB2312"/>
          <w:sz w:val="32"/>
          <w:szCs w:val="32"/>
        </w:rPr>
        <w:t>D23-G1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井</w:t>
      </w:r>
      <w:r>
        <w:rPr>
          <w:rFonts w:hint="eastAsia" w:ascii="仿宋_GB2312" w:hAnsi="仿宋_GB2312" w:eastAsia="仿宋_GB2312" w:cs="仿宋_GB2312"/>
          <w:sz w:val="32"/>
          <w:szCs w:val="32"/>
        </w:rPr>
        <w:t>D36-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R</w:t>
      </w:r>
      <w:r>
        <w:rPr>
          <w:rFonts w:hint="eastAsia"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井D16-R21等</w:t>
      </w:r>
      <w:r>
        <w:rPr>
          <w:rFonts w:hint="eastAsia" w:ascii="仿宋_GB2312" w:hAnsi="仿宋_GB2312" w:eastAsia="仿宋_GB2312" w:cs="仿宋_GB2312"/>
          <w:sz w:val="32"/>
          <w:szCs w:val="32"/>
        </w:rPr>
        <w:t>地块。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西北侧为攀枝花市第十八小学校，西侧为锦绣豪庭居民区，南侧为攀枝花市西区人民法院，东侧为攀枝花市西区农药残留物检验检疫中心。地块西侧与百家巷相接，东侧与建利巷相接。百家巷和建利巷形成U形道路与苏铁中路连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三、规划调整背景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调规项目位于西区大水井组团：大水井组团定位是以居住为主的片区，规划充分利用片区的自然水资源和较为良好的地地形条件，集中打造良好的居住环境。规划定位为：休闲旅游度假基地和活力、宜居新城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本次调规部分土地为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棚户区腾空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土地，为响应“十四五”西区发展规划，加快推进棚户区改造工作，发挥片区优势，集约利用土地，提升城区品质，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改善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居环境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攀枝花市西区政府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开展了攀枝花市西区清香坪大水井片区（清香坪单元、大水井单元）中井D36-R21等地块的规划调整研究工作，在符合各层次规划总体结构和控制要求的基础上，提出了规划调整方案。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四、规划调整内容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（一）将原控规井D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地块（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R21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）用地面积由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27900.14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㎡减少至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24296.95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㎡，用地性质不作调整，规划指标与原控规保持一致（容积率≤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，建筑密度≤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 ，绿地率≥2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%，配套建设公厕）。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（二）将原控规井D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地块（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R21）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用地面积由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18883.55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㎡增加至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20210.40㎡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，用地性质由住宅用地调整为住宅用地兼容商业，商业兼容比≤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容积率由≤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2.8调整为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4.5，绿地率由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≥2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%调整为≥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30%，建筑密度与原控规保持一致（建筑密度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30%）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（三）将原控规井D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23地块（G1）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用地面积由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7272.50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㎡增加至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8492.73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㎡，用地性质不作调整，配套公建与原控规保持一致（地下停车场，不少于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200个停车位）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633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</w:p>
    <w:bookmarkEnd w:id="0"/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653415</wp:posOffset>
            </wp:positionV>
            <wp:extent cx="10644505" cy="2922270"/>
            <wp:effectExtent l="0" t="0" r="4445" b="11430"/>
            <wp:wrapNone/>
            <wp:docPr id="1" name="图片 2" descr="C:\Users\mayn\Desktop\拼图.jpg拼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mayn\Desktop\拼图.jpg拼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44505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调整前用地规划布局图        调整后用地规划布局图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633" w:right="1440" w:bottom="1800" w:left="1134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1185"/>
        <w:gridCol w:w="1629"/>
        <w:gridCol w:w="1226"/>
        <w:gridCol w:w="1212"/>
        <w:gridCol w:w="877"/>
        <w:gridCol w:w="1072"/>
        <w:gridCol w:w="1198"/>
        <w:gridCol w:w="1016"/>
        <w:gridCol w:w="170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cs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eastAsia="zh-CN"/>
              </w:rPr>
              <w:t>调整前指标表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786" w:type="pct"/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地块编号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用地性质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用地面积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（</w:t>
            </w:r>
            <w:r>
              <w:rPr>
                <w:rStyle w:val="5"/>
                <w:rFonts w:hint="eastAsia" w:ascii="黑体" w:hAnsi="黑体" w:eastAsia="黑体" w:cs="黑体"/>
                <w:sz w:val="21"/>
                <w:szCs w:val="21"/>
                <w:lang w:eastAsia="zh-CN" w:bidi="ar"/>
              </w:rPr>
              <w:t>㎡）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用地兼容性质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兼容比例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容积率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绿地率（%）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黑体" w:eastAsia="黑体" w:cs="黑体"/>
                <w:sz w:val="21"/>
                <w:szCs w:val="21"/>
                <w:lang w:bidi="ar"/>
              </w:rPr>
              <w:t>建筑密度（%）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开口方向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配套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公建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786" w:type="pct"/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井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D23-G1/20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-01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公园绿地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7272.50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地下停车场，个数不少于200个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786" w:type="pct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井D16-R21/2018-01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住宅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27900.14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厕所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现状居住用地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786" w:type="pct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井D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6-R21/2018-01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住宅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18883.55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2.8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</w:tr>
    </w:tbl>
    <w:p>
      <w:pPr>
        <w:pStyle w:val="2"/>
        <w:rPr>
          <w:rFonts w:hint="eastAsia" w:ascii="黑体" w:hAnsi="黑体" w:eastAsia="黑体" w:cs="黑体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tbl>
      <w:tblPr>
        <w:tblStyle w:val="3"/>
        <w:tblpPr w:leftFromText="180" w:rightFromText="180" w:vertAnchor="text" w:horzAnchor="page" w:tblpX="1108" w:tblpY="170"/>
        <w:tblOverlap w:val="never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1185"/>
        <w:gridCol w:w="1629"/>
        <w:gridCol w:w="1226"/>
        <w:gridCol w:w="1212"/>
        <w:gridCol w:w="877"/>
        <w:gridCol w:w="1072"/>
        <w:gridCol w:w="1198"/>
        <w:gridCol w:w="1016"/>
        <w:gridCol w:w="1198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cs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eastAsia="zh-CN"/>
              </w:rPr>
              <w:t>调整</w:t>
            </w:r>
            <w:r>
              <w:rPr>
                <w:rFonts w:hint="eastAsia" w:cs="等线"/>
                <w:sz w:val="28"/>
                <w:szCs w:val="28"/>
                <w:lang w:val="en-US" w:eastAsia="zh-CN"/>
              </w:rPr>
              <w:t>后</w:t>
            </w:r>
            <w:r>
              <w:rPr>
                <w:rFonts w:hint="eastAsia" w:ascii="等线" w:hAnsi="等线" w:eastAsia="等线" w:cs="等线"/>
                <w:sz w:val="28"/>
                <w:szCs w:val="28"/>
                <w:lang w:eastAsia="zh-CN"/>
              </w:rPr>
              <w:t>指标表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86" w:type="pct"/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地块编号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用地性质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用地面积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（</w:t>
            </w:r>
            <w:r>
              <w:rPr>
                <w:rStyle w:val="5"/>
                <w:rFonts w:hint="eastAsia" w:ascii="黑体" w:hAnsi="黑体" w:eastAsia="黑体" w:cs="黑体"/>
                <w:sz w:val="21"/>
                <w:szCs w:val="21"/>
                <w:lang w:eastAsia="zh-CN" w:bidi="ar"/>
              </w:rPr>
              <w:t>㎡）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用地兼容性质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兼容比例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容积率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绿地率（%）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黑体" w:eastAsia="黑体" w:cs="黑体"/>
                <w:sz w:val="21"/>
                <w:szCs w:val="21"/>
                <w:lang w:bidi="ar"/>
              </w:rPr>
              <w:t>建筑密度（%）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开口方向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配套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公建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6" w:type="pct"/>
            <w:noWrap w:val="0"/>
            <w:vAlign w:val="center"/>
          </w:tcPr>
          <w:p>
            <w:pPr>
              <w:pStyle w:val="2"/>
              <w:spacing w:line="400" w:lineRule="exact"/>
              <w:ind w:left="140" w:left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井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D23-G1/20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-01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公园绿地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8492.73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地下停车场，个数不少于200个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6" w:type="pct"/>
            <w:noWrap w:val="0"/>
            <w:vAlign w:val="center"/>
          </w:tcPr>
          <w:p>
            <w:pPr>
              <w:pStyle w:val="2"/>
              <w:spacing w:line="360" w:lineRule="exact"/>
              <w:ind w:left="140" w:leftChars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井D16-R21/20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-01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住宅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24296.95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厕所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现状居住用地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86" w:type="pct"/>
            <w:noWrap w:val="0"/>
            <w:vAlign w:val="center"/>
          </w:tcPr>
          <w:p>
            <w:pPr>
              <w:pStyle w:val="2"/>
              <w:spacing w:line="360" w:lineRule="exact"/>
              <w:ind w:left="140" w:leftChars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井D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6-R21/20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 w:bidi="ar"/>
              </w:rPr>
              <w:t>-01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住宅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20210.40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≤10%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4.5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西侧、东侧、东南侧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保留东西向原有通道；正确处理东侧既有道路。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134" w:right="144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84235"/>
    <w:rsid w:val="212139F6"/>
    <w:rsid w:val="44AA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0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character" w:customStyle="1" w:styleId="5">
    <w:name w:val="font0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800</Words>
  <Characters>958</Characters>
  <Paragraphs>16</Paragraphs>
  <TotalTime>0</TotalTime>
  <ScaleCrop>false</ScaleCrop>
  <LinksUpToDate>false</LinksUpToDate>
  <CharactersWithSpaces>961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2021-10-22T11:52:00Z</dcterms:created>
  <dc:creator>sponge</dc:creator>
  <cp:lastModifiedBy>Administrator</cp:lastModifiedBy>
  <dcterms:modified xsi:type="dcterms:W3CDTF">2021-10-27T09:02:52Z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F90B9C44384D405A8D0A781CD7B36173</vt:lpwstr>
  </property>
</Properties>
</file>