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44" w:firstLineChars="45"/>
        <w:rPr>
          <w:rFonts w:ascii="黑体" w:hAnsi="黑体" w:eastAsia="黑体" w:cs="Times New Roman"/>
          <w:sz w:val="32"/>
          <w:szCs w:val="44"/>
        </w:rPr>
      </w:pPr>
      <w:r>
        <w:rPr>
          <w:rFonts w:hint="eastAsia" w:ascii="黑体" w:hAnsi="黑体" w:eastAsia="黑体" w:cs="Times New Roman"/>
          <w:sz w:val="32"/>
          <w:szCs w:val="44"/>
        </w:rPr>
        <w:t>附件2</w:t>
      </w:r>
    </w:p>
    <w:p>
      <w:pPr>
        <w:spacing w:line="560" w:lineRule="exact"/>
        <w:ind w:firstLine="880"/>
        <w:jc w:val="center"/>
        <w:rPr>
          <w:rFonts w:eastAsia="方正小标宋简体" w:cs="Times New Roman"/>
          <w:sz w:val="44"/>
          <w:szCs w:val="44"/>
        </w:rPr>
      </w:pPr>
    </w:p>
    <w:p>
      <w:pPr>
        <w:spacing w:line="560" w:lineRule="exact"/>
        <w:ind w:firstLine="880"/>
        <w:jc w:val="center"/>
        <w:rPr>
          <w:rFonts w:eastAsia="方正小标宋简体" w:cs="Times New Roman"/>
          <w:sz w:val="44"/>
          <w:szCs w:val="44"/>
        </w:rPr>
      </w:pPr>
      <w:r>
        <w:rPr>
          <w:rFonts w:eastAsia="方正小标宋简体" w:cs="Times New Roman"/>
          <w:sz w:val="44"/>
          <w:szCs w:val="44"/>
        </w:rPr>
        <w:t>四川省2018年度挥发性有机物</w:t>
      </w:r>
      <w:r>
        <w:rPr>
          <w:rFonts w:hint="eastAsia" w:eastAsia="方正小标宋简体" w:cs="Times New Roman"/>
          <w:sz w:val="44"/>
          <w:szCs w:val="44"/>
        </w:rPr>
        <w:t>（</w:t>
      </w:r>
      <w:r>
        <w:rPr>
          <w:rFonts w:eastAsia="方正小标宋简体" w:cs="Times New Roman"/>
          <w:sz w:val="44"/>
          <w:szCs w:val="44"/>
        </w:rPr>
        <w:t>VOCs</w:t>
      </w:r>
      <w:r>
        <w:rPr>
          <w:rFonts w:hint="eastAsia" w:eastAsia="方正小标宋简体" w:cs="Times New Roman"/>
          <w:sz w:val="44"/>
          <w:szCs w:val="44"/>
        </w:rPr>
        <w:t>）</w:t>
      </w:r>
    </w:p>
    <w:p>
      <w:pPr>
        <w:spacing w:line="560" w:lineRule="exact"/>
        <w:ind w:firstLine="880"/>
        <w:jc w:val="center"/>
        <w:rPr>
          <w:rFonts w:eastAsia="方正小标宋简体" w:cs="Times New Roman"/>
          <w:sz w:val="44"/>
          <w:szCs w:val="44"/>
        </w:rPr>
      </w:pPr>
      <w:r>
        <w:rPr>
          <w:rFonts w:eastAsia="方正小标宋简体" w:cs="Times New Roman"/>
          <w:sz w:val="44"/>
          <w:szCs w:val="44"/>
        </w:rPr>
        <w:t>减排核算方法说明</w:t>
      </w:r>
    </w:p>
    <w:p>
      <w:pPr>
        <w:spacing w:line="560" w:lineRule="exact"/>
        <w:ind w:firstLine="640"/>
        <w:rPr>
          <w:rFonts w:eastAsia="仿宋_GB2312" w:cs="Times New Roman"/>
          <w:sz w:val="32"/>
          <w:szCs w:val="32"/>
        </w:rPr>
      </w:pPr>
    </w:p>
    <w:p>
      <w:pPr>
        <w:spacing w:line="560" w:lineRule="exact"/>
        <w:ind w:firstLine="640"/>
        <w:rPr>
          <w:rFonts w:eastAsia="仿宋_GB2312" w:cs="Times New Roman"/>
          <w:sz w:val="32"/>
          <w:szCs w:val="32"/>
        </w:rPr>
      </w:pPr>
      <w:r>
        <w:rPr>
          <w:rFonts w:eastAsia="仿宋_GB2312" w:cs="Times New Roman"/>
          <w:sz w:val="32"/>
          <w:szCs w:val="32"/>
        </w:rPr>
        <w:t>2018年度挥发性有机物主要核算范围为工业源和加油站。2018年挥发性有机物减排核算（VOCs，下同）均以2015年排放量为基数，2018年新增削减量为2015年排放量与2018年实际排放量之差。核算方法原则上采用产排污系数法。</w:t>
      </w:r>
    </w:p>
    <w:p>
      <w:pPr>
        <w:spacing w:line="560" w:lineRule="exact"/>
        <w:ind w:firstLine="643"/>
        <w:rPr>
          <w:rFonts w:ascii="楷体" w:hAnsi="楷体" w:eastAsia="楷体" w:cs="Times New Roman"/>
          <w:b/>
          <w:sz w:val="32"/>
          <w:szCs w:val="32"/>
        </w:rPr>
      </w:pPr>
      <w:r>
        <w:rPr>
          <w:rFonts w:ascii="楷体" w:hAnsi="楷体" w:eastAsia="楷体" w:cs="Times New Roman"/>
          <w:b/>
          <w:sz w:val="32"/>
          <w:szCs w:val="32"/>
        </w:rPr>
        <w:t>一、工业源核算方法</w:t>
      </w:r>
    </w:p>
    <w:p>
      <w:pPr>
        <w:spacing w:line="560" w:lineRule="exact"/>
        <w:ind w:firstLine="640"/>
        <w:rPr>
          <w:rFonts w:eastAsia="仿宋_GB2312" w:cs="Times New Roman"/>
          <w:sz w:val="32"/>
          <w:szCs w:val="32"/>
        </w:rPr>
      </w:pPr>
      <w:r>
        <w:rPr>
          <w:rFonts w:eastAsia="仿宋_GB2312" w:cs="Times New Roman"/>
          <w:sz w:val="32"/>
          <w:szCs w:val="32"/>
        </w:rPr>
        <w:t>工业源减排核算主要核算生产过程和燃烧过程形成的削减量。要基于产品产量或溶剂使用量或燃料使用量、产排污系数和VOCs综合去除效率（即污染治理设施运行效率和VOCs去除效率之积），分产污工序或生产线逐一核算VOCs排放量。</w:t>
      </w:r>
    </w:p>
    <w:p>
      <w:pPr>
        <w:spacing w:line="560" w:lineRule="exact"/>
        <w:ind w:firstLine="480" w:firstLineChars="0"/>
        <w:rPr>
          <w:rFonts w:ascii="楷体" w:hAnsi="楷体" w:eastAsia="楷体" w:cs="Times New Roman"/>
          <w:b/>
          <w:sz w:val="32"/>
          <w:szCs w:val="32"/>
        </w:rPr>
      </w:pPr>
      <w:r>
        <w:rPr>
          <w:rFonts w:ascii="楷体" w:hAnsi="楷体" w:eastAsia="楷体" w:cs="Times New Roman"/>
          <w:b/>
          <w:sz w:val="32"/>
          <w:szCs w:val="32"/>
        </w:rPr>
        <w:t>（一）生产过程</w:t>
      </w:r>
    </w:p>
    <w:p>
      <w:pPr>
        <w:spacing w:line="560" w:lineRule="exact"/>
        <w:ind w:firstLine="480" w:firstLineChars="0"/>
        <w:rPr>
          <w:rFonts w:eastAsia="仿宋_GB2312" w:cs="Times New Roman"/>
          <w:sz w:val="32"/>
          <w:szCs w:val="32"/>
        </w:rPr>
      </w:pPr>
      <w:r>
        <w:rPr>
          <w:rFonts w:eastAsia="仿宋_GB2312" w:cs="Times New Roman"/>
          <w:sz w:val="32"/>
          <w:szCs w:val="32"/>
        </w:rPr>
        <w:t>生产过程核算内容主要包括工艺过程源和溶剂使用源，工艺过程源主要指含VOCs原辅材料的生产，如石化、化工、制药、建材等行业；溶剂使用源主要指含VOCs有机溶剂使用，如汽车制造、家具制造、机械制造、印刷等行业。企业根据所属源项填报相应表格，核算VOCs排放量和削减量。生产过程不同行业VOCs产污系数和去除治理效率取值参照表1至表6。</w:t>
      </w:r>
    </w:p>
    <w:p>
      <w:pPr>
        <w:ind w:left="480" w:firstLine="0" w:firstLineChars="0"/>
        <w:rPr>
          <w:rFonts w:ascii="仿宋_GB2312" w:eastAsia="仿宋_GB2312"/>
          <w:b/>
          <w:sz w:val="32"/>
          <w:szCs w:val="32"/>
        </w:rPr>
      </w:pPr>
      <w:r>
        <w:rPr>
          <w:rFonts w:hint="eastAsia" w:ascii="仿宋_GB2312" w:eastAsia="仿宋_GB2312"/>
          <w:b/>
          <w:sz w:val="32"/>
          <w:szCs w:val="32"/>
        </w:rPr>
        <w:t>1、工艺过程源VOCs产污系数参考值</w:t>
      </w:r>
    </w:p>
    <w:p>
      <w:pPr>
        <w:spacing w:before="240"/>
        <w:ind w:firstLine="480" w:firstLineChars="0"/>
        <w:jc w:val="center"/>
        <w:rPr>
          <w:rFonts w:ascii="黑体" w:hAnsi="黑体" w:eastAsia="黑体" w:cs="Times New Roman"/>
          <w:bCs/>
          <w:kern w:val="0"/>
          <w:szCs w:val="28"/>
        </w:rPr>
      </w:pPr>
      <w:r>
        <w:rPr>
          <w:rFonts w:ascii="黑体" w:hAnsi="黑体" w:eastAsia="黑体" w:cs="Times New Roman"/>
          <w:bCs/>
          <w:kern w:val="0"/>
          <w:szCs w:val="28"/>
        </w:rPr>
        <w:t>表1 主要石化产品及VOCs产污系数</w:t>
      </w:r>
    </w:p>
    <w:tbl>
      <w:tblPr>
        <w:tblStyle w:val="14"/>
        <w:tblW w:w="877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8"/>
        <w:gridCol w:w="2512"/>
        <w:gridCol w:w="1810"/>
        <w:gridCol w:w="214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 w:hRule="atLeast"/>
          <w:tblHeader/>
        </w:trPr>
        <w:tc>
          <w:tcPr>
            <w:tcW w:w="2308"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行业</w:t>
            </w:r>
          </w:p>
        </w:tc>
        <w:tc>
          <w:tcPr>
            <w:tcW w:w="2512"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产品/原料</w:t>
            </w:r>
          </w:p>
        </w:tc>
        <w:tc>
          <w:tcPr>
            <w:tcW w:w="1810" w:type="dxa"/>
            <w:tcBorders>
              <w:top w:val="single" w:color="auto" w:sz="4" w:space="0"/>
              <w:bottom w:val="single" w:color="auto" w:sz="4" w:space="0"/>
            </w:tcBorders>
            <w:shd w:val="clear" w:color="auto" w:fill="auto"/>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VOCs产污系数</w:t>
            </w:r>
          </w:p>
        </w:tc>
        <w:tc>
          <w:tcPr>
            <w:tcW w:w="2146" w:type="dxa"/>
            <w:tcBorders>
              <w:top w:val="single" w:color="auto" w:sz="4" w:space="0"/>
              <w:bottom w:val="single" w:color="auto" w:sz="4" w:space="0"/>
            </w:tcBorders>
            <w:shd w:val="clear" w:color="auto" w:fill="auto"/>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单位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tcBorders>
              <w:top w:val="single" w:color="auto" w:sz="4" w:space="0"/>
            </w:tcBorders>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采矿</w:t>
            </w:r>
          </w:p>
        </w:tc>
        <w:tc>
          <w:tcPr>
            <w:tcW w:w="2512" w:type="dxa"/>
            <w:tcBorders>
              <w:top w:val="single" w:color="auto" w:sz="4" w:space="0"/>
            </w:tcBorders>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石油开采</w:t>
            </w:r>
          </w:p>
        </w:tc>
        <w:tc>
          <w:tcPr>
            <w:tcW w:w="1810" w:type="dxa"/>
            <w:tcBorders>
              <w:top w:val="single" w:color="auto" w:sz="4" w:space="0"/>
            </w:tcBorders>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sz w:val="20"/>
                <w:szCs w:val="20"/>
              </w:rPr>
              <w:t xml:space="preserve">1.42 </w:t>
            </w:r>
          </w:p>
        </w:tc>
        <w:tc>
          <w:tcPr>
            <w:tcW w:w="2146" w:type="dxa"/>
            <w:tcBorders>
              <w:top w:val="single" w:color="auto" w:sz="4" w:space="0"/>
            </w:tcBorders>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kg/t石油开采量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采矿</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天然气开采</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sz w:val="20"/>
                <w:szCs w:val="20"/>
              </w:rPr>
              <w:t xml:space="preserve">0.50 </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kg/m3天然气开采量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80" w:firstLineChars="0"/>
              <w:jc w:val="center"/>
              <w:rPr>
                <w:rFonts w:eastAsia="仿宋_GB2312" w:cs="Times New Roman"/>
                <w:kern w:val="0"/>
                <w:sz w:val="20"/>
                <w:szCs w:val="20"/>
              </w:rPr>
            </w:pPr>
            <w:r>
              <w:rPr>
                <w:rFonts w:eastAsia="仿宋_GB2312" w:cs="Times New Roman"/>
                <w:kern w:val="0"/>
                <w:sz w:val="20"/>
                <w:szCs w:val="20"/>
              </w:rPr>
              <w:t>石油炼制</w:t>
            </w:r>
          </w:p>
        </w:tc>
        <w:tc>
          <w:tcPr>
            <w:tcW w:w="2512" w:type="dxa"/>
            <w:shd w:val="clear" w:color="auto" w:fill="auto"/>
            <w:vAlign w:val="center"/>
          </w:tcPr>
          <w:p>
            <w:pPr>
              <w:widowControl/>
              <w:snapToGrid w:val="0"/>
              <w:ind w:firstLine="480" w:firstLineChars="0"/>
              <w:jc w:val="center"/>
              <w:rPr>
                <w:rFonts w:eastAsia="仿宋_GB2312" w:cs="Times New Roman"/>
                <w:kern w:val="0"/>
                <w:sz w:val="20"/>
                <w:szCs w:val="20"/>
              </w:rPr>
            </w:pPr>
            <w:r>
              <w:rPr>
                <w:rFonts w:eastAsia="仿宋_GB2312" w:cs="Times New Roman"/>
                <w:kern w:val="0"/>
                <w:sz w:val="20"/>
                <w:szCs w:val="20"/>
              </w:rPr>
              <w:t>原油加工量</w:t>
            </w:r>
          </w:p>
        </w:tc>
        <w:tc>
          <w:tcPr>
            <w:tcW w:w="1810" w:type="dxa"/>
            <w:shd w:val="clear" w:color="auto" w:fill="auto"/>
            <w:vAlign w:val="center"/>
          </w:tcPr>
          <w:p>
            <w:pPr>
              <w:widowControl/>
              <w:snapToGrid w:val="0"/>
              <w:ind w:firstLine="480" w:firstLineChars="0"/>
              <w:jc w:val="center"/>
              <w:rPr>
                <w:rFonts w:eastAsia="仿宋_GB2312" w:cs="Times New Roman"/>
                <w:kern w:val="0"/>
                <w:sz w:val="20"/>
                <w:szCs w:val="20"/>
              </w:rPr>
            </w:pPr>
            <w:r>
              <w:rPr>
                <w:rFonts w:eastAsia="仿宋_GB2312" w:cs="Times New Roman"/>
                <w:kern w:val="0"/>
                <w:sz w:val="20"/>
                <w:szCs w:val="20"/>
              </w:rPr>
              <w:t>1.82</w:t>
            </w:r>
          </w:p>
        </w:tc>
        <w:tc>
          <w:tcPr>
            <w:tcW w:w="2146" w:type="dxa"/>
            <w:shd w:val="clear" w:color="auto" w:fill="auto"/>
            <w:vAlign w:val="center"/>
          </w:tcPr>
          <w:p>
            <w:pPr>
              <w:widowControl/>
              <w:snapToGrid w:val="0"/>
              <w:ind w:firstLine="480" w:firstLineChars="0"/>
              <w:jc w:val="center"/>
              <w:rPr>
                <w:rFonts w:eastAsia="仿宋_GB2312" w:cs="Times New Roman"/>
                <w:kern w:val="0"/>
                <w:sz w:val="20"/>
                <w:szCs w:val="20"/>
              </w:rPr>
            </w:pPr>
            <w:r>
              <w:rPr>
                <w:rFonts w:eastAsia="仿宋_GB2312" w:cs="Times New Roman"/>
                <w:kern w:val="0"/>
                <w:sz w:val="20"/>
                <w:szCs w:val="20"/>
              </w:rPr>
              <w:t>g/kg 原油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0.55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苯胺</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0.10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苯乙烯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0.22</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0.11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丙烯醇</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228.45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丙烯酸</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0.33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醋酸</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0.20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醋酸乙烯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4.71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丁二烯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 xml:space="preserve">139.74 </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丁酮</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 xml:space="preserve">1.20 </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对苯二甲酸</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19.80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对二甲苯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172.00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t/生产线/年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二氯乙烷</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2.50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二氯乙烯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1.75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酚类</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7.71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夫酸酯类</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3.40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氟碳/氟氯碳化物</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7.26</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甘油</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65.81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过氧化氢</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9.43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环己酮</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22.22</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环氧乙烷</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3.90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混合二甲苯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172.00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t/生产线/年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己二酸</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21.37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己内酰胺</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5.96</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甲苯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172.00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t/生产线/年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甲醇</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5.95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甲基丙烯酸酯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25.47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甲醛</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5.95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间二甲苯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172.00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t/生产线/年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邻苯二甲酸二辛酯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0.04</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邻苯二甲酸酐</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1.71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邻二甲苯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172.00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t/生产线/年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氯苯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1.49</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氯丙烯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22.21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氯丁二烯（哥罗普林）</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5.59</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氯乙烯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2.50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醚</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0.08</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其他化学制造</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22.89</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氢氟酸</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0.01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氰化氢</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7.01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氰甲烷</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248.77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四甲基铅</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96.75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四氯化碳</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0.16</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四乙基铅</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3.13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烷基苯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18.40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烷基铅</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0.50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硝基苯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1.35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0.10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乙醇</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0.95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乙二胺</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0.20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乙酐</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2.75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乙醛</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3.24</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乙酸</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6.67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乙酸乙酯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24.47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0.10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异丙苯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0.55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异二氰甲苯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9.66</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有机化学原料</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酯类</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5.85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苯乙烯和丁二烯共聚物（SB）</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 xml:space="preserve">1.20 </w:t>
            </w:r>
            <w:r>
              <w:rPr>
                <w:rFonts w:eastAsia="仿宋_GB2312" w:cs="Times New Roman"/>
                <w:sz w:val="20"/>
                <w:szCs w:val="20"/>
                <w:vertAlign w:val="superscript"/>
              </w:rPr>
              <w:t>[3]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丙烯腈-苯乙烯（AS）</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0.15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丙烯腈-丁二烯-苯乙烯（ABS）</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30.03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丙烯酸树脂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0.60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醇酸树脂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6.42</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低密度聚乙烯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10.00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酚醛树脂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7.30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高密度聚乙烯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5.70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环氧树脂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2.55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聚苯乙烯（PS）</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5.40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聚丙烯（PP）</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聚甲基丙烯酸甲酯（亚克力,PMMA）</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2.97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聚氯乙烯（PVC）</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8.509</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聚醚树脂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25.03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聚脲树脂（PU）</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0.98</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聚酰胺</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0.80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聚酯树脂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0.25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脲醛树脂（UF）</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7.36</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三聚氰胺树脂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25.03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合成树脂</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线性聚乙烯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10.00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氨纶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71.12</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37.10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丙烯腈</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0.99</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醋酸纤维</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145.16</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涤纶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0.70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腈纶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37.10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腈纶和聚丙烯腈</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6.75</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精对苯二甲酸</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19.80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聚丙烯腈纤维</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125.00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聚烯烃</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5.00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聚酯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0.33</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尼龙</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3.30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尼龙6</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2.19</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尼龙66</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1.22</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其他有机合成纤维</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61.00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三醋酸纤维</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199.00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维纶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7.70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乙二醇</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0.52</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合成纤维单体</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粘胶纤维</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14.50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合成橡胶</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丁苯橡胶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7.17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合成橡胶</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其他合成乳胶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2.68</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合成橡胶</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其他合成橡胶</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7.17</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化学纤维</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合成纤维加工</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0.36</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化学纤维</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合成纤维制造</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42.31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日用化学品</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活性剂</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0.98</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橡胶制品</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轮胎</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0.91</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kg/个产品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橡胶制品</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一般橡胶制品</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6.64</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2308"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医药</w:t>
            </w:r>
          </w:p>
        </w:tc>
        <w:tc>
          <w:tcPr>
            <w:tcW w:w="2512"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化学原料药</w:t>
            </w:r>
          </w:p>
        </w:tc>
        <w:tc>
          <w:tcPr>
            <w:tcW w:w="1810"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430.00</w:t>
            </w:r>
          </w:p>
        </w:tc>
        <w:tc>
          <w:tcPr>
            <w:tcW w:w="2146" w:type="dxa"/>
            <w:shd w:val="clear" w:color="auto" w:fill="auto"/>
            <w:vAlign w:val="center"/>
          </w:tcPr>
          <w:p>
            <w:pPr>
              <w:widowControl/>
              <w:snapToGrid w:val="0"/>
              <w:ind w:firstLine="400" w:firstLineChars="0"/>
              <w:jc w:val="center"/>
              <w:rPr>
                <w:rFonts w:eastAsia="仿宋_GB2312" w:cs="Times New Roman"/>
                <w:kern w:val="0"/>
                <w:sz w:val="20"/>
                <w:szCs w:val="20"/>
              </w:rPr>
            </w:pPr>
            <w:r>
              <w:rPr>
                <w:rFonts w:eastAsia="仿宋_GB2312" w:cs="Times New Roman"/>
                <w:kern w:val="0"/>
                <w:sz w:val="20"/>
                <w:szCs w:val="20"/>
              </w:rPr>
              <w:t>kg/t产品</w:t>
            </w:r>
          </w:p>
        </w:tc>
      </w:tr>
    </w:tbl>
    <w:p>
      <w:pPr>
        <w:spacing w:before="240"/>
        <w:ind w:firstLine="480" w:firstLineChars="0"/>
        <w:jc w:val="center"/>
        <w:rPr>
          <w:rFonts w:ascii="黑体" w:hAnsi="黑体" w:eastAsia="黑体" w:cs="Times New Roman"/>
          <w:bCs/>
          <w:kern w:val="0"/>
          <w:szCs w:val="28"/>
        </w:rPr>
      </w:pPr>
      <w:r>
        <w:rPr>
          <w:rFonts w:ascii="黑体" w:hAnsi="黑体" w:eastAsia="黑体" w:cs="Times New Roman"/>
          <w:bCs/>
          <w:kern w:val="0"/>
          <w:szCs w:val="28"/>
        </w:rPr>
        <w:t>表2 焦炭、钢铁、有色金属冶炼过程VOCs产污系数</w:t>
      </w:r>
    </w:p>
    <w:tbl>
      <w:tblPr>
        <w:tblStyle w:val="60"/>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2446"/>
        <w:gridCol w:w="2056"/>
        <w:gridCol w:w="2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行业</w:t>
            </w:r>
          </w:p>
        </w:tc>
        <w:tc>
          <w:tcPr>
            <w:tcW w:w="2446"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工艺过程</w:t>
            </w:r>
          </w:p>
        </w:tc>
        <w:tc>
          <w:tcPr>
            <w:tcW w:w="2056"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VOCs产污系数</w:t>
            </w:r>
          </w:p>
        </w:tc>
        <w:tc>
          <w:tcPr>
            <w:tcW w:w="2035"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炼焦</w:t>
            </w:r>
          </w:p>
        </w:tc>
        <w:tc>
          <w:tcPr>
            <w:tcW w:w="2446"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机械炼焦</w:t>
            </w:r>
          </w:p>
        </w:tc>
        <w:tc>
          <w:tcPr>
            <w:tcW w:w="2056"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0.073</w:t>
            </w:r>
          </w:p>
        </w:tc>
        <w:tc>
          <w:tcPr>
            <w:tcW w:w="2035"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g/kg焦炭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炼焦</w:t>
            </w:r>
          </w:p>
        </w:tc>
        <w:tc>
          <w:tcPr>
            <w:tcW w:w="244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土法炼焦</w:t>
            </w:r>
          </w:p>
        </w:tc>
        <w:tc>
          <w:tcPr>
            <w:tcW w:w="205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5.36</w:t>
            </w:r>
          </w:p>
        </w:tc>
        <w:tc>
          <w:tcPr>
            <w:tcW w:w="203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kg/t焦炭产量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炼钢</w:t>
            </w:r>
          </w:p>
        </w:tc>
        <w:tc>
          <w:tcPr>
            <w:tcW w:w="244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电弧炉</w:t>
            </w:r>
          </w:p>
        </w:tc>
        <w:tc>
          <w:tcPr>
            <w:tcW w:w="205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0.06</w:t>
            </w:r>
          </w:p>
        </w:tc>
        <w:tc>
          <w:tcPr>
            <w:tcW w:w="203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轧钢</w:t>
            </w:r>
          </w:p>
        </w:tc>
        <w:tc>
          <w:tcPr>
            <w:tcW w:w="244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热轧</w:t>
            </w:r>
          </w:p>
        </w:tc>
        <w:tc>
          <w:tcPr>
            <w:tcW w:w="205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0.30</w:t>
            </w:r>
          </w:p>
        </w:tc>
        <w:tc>
          <w:tcPr>
            <w:tcW w:w="203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 w:hRule="atLeast"/>
          <w:jc w:val="center"/>
        </w:trPr>
        <w:tc>
          <w:tcPr>
            <w:tcW w:w="198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轧钢</w:t>
            </w:r>
          </w:p>
        </w:tc>
        <w:tc>
          <w:tcPr>
            <w:tcW w:w="244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冷轧</w:t>
            </w:r>
          </w:p>
        </w:tc>
        <w:tc>
          <w:tcPr>
            <w:tcW w:w="205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0.20</w:t>
            </w:r>
          </w:p>
        </w:tc>
        <w:tc>
          <w:tcPr>
            <w:tcW w:w="203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二次铜及铜合金</w:t>
            </w:r>
          </w:p>
        </w:tc>
        <w:tc>
          <w:tcPr>
            <w:tcW w:w="2446" w:type="dxa"/>
            <w:vAlign w:val="center"/>
          </w:tcPr>
          <w:p>
            <w:pPr>
              <w:ind w:firstLine="0" w:firstLineChars="0"/>
              <w:jc w:val="center"/>
              <w:rPr>
                <w:rFonts w:eastAsia="仿宋_GB2312" w:cs="Times New Roman"/>
                <w:kern w:val="0"/>
                <w:sz w:val="20"/>
                <w:szCs w:val="20"/>
              </w:rPr>
            </w:pPr>
          </w:p>
        </w:tc>
        <w:tc>
          <w:tcPr>
            <w:tcW w:w="205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0.62</w:t>
            </w:r>
          </w:p>
        </w:tc>
        <w:tc>
          <w:tcPr>
            <w:tcW w:w="203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二次铝</w:t>
            </w:r>
          </w:p>
        </w:tc>
        <w:tc>
          <w:tcPr>
            <w:tcW w:w="2446" w:type="dxa"/>
            <w:vAlign w:val="center"/>
          </w:tcPr>
          <w:p>
            <w:pPr>
              <w:ind w:firstLine="0" w:firstLineChars="0"/>
              <w:jc w:val="center"/>
              <w:rPr>
                <w:rFonts w:eastAsia="仿宋_GB2312" w:cs="Times New Roman"/>
                <w:kern w:val="0"/>
                <w:sz w:val="20"/>
                <w:szCs w:val="20"/>
              </w:rPr>
            </w:pPr>
          </w:p>
        </w:tc>
        <w:tc>
          <w:tcPr>
            <w:tcW w:w="205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0.63</w:t>
            </w:r>
          </w:p>
        </w:tc>
        <w:tc>
          <w:tcPr>
            <w:tcW w:w="203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二次铅</w:t>
            </w:r>
          </w:p>
        </w:tc>
        <w:tc>
          <w:tcPr>
            <w:tcW w:w="2446" w:type="dxa"/>
            <w:vAlign w:val="center"/>
          </w:tcPr>
          <w:p>
            <w:pPr>
              <w:ind w:firstLine="0" w:firstLineChars="0"/>
              <w:jc w:val="center"/>
              <w:rPr>
                <w:rFonts w:eastAsia="仿宋_GB2312" w:cs="Times New Roman"/>
                <w:kern w:val="0"/>
                <w:sz w:val="20"/>
                <w:szCs w:val="20"/>
              </w:rPr>
            </w:pPr>
          </w:p>
        </w:tc>
        <w:tc>
          <w:tcPr>
            <w:tcW w:w="205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5.200</w:t>
            </w:r>
          </w:p>
        </w:tc>
        <w:tc>
          <w:tcPr>
            <w:tcW w:w="203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5"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二次锌</w:t>
            </w:r>
          </w:p>
        </w:tc>
        <w:tc>
          <w:tcPr>
            <w:tcW w:w="2446" w:type="dxa"/>
            <w:tcBorders>
              <w:bottom w:val="single" w:color="auto" w:sz="4" w:space="0"/>
            </w:tcBorders>
            <w:vAlign w:val="center"/>
          </w:tcPr>
          <w:p>
            <w:pPr>
              <w:ind w:firstLine="0" w:firstLineChars="0"/>
              <w:jc w:val="center"/>
              <w:rPr>
                <w:rFonts w:eastAsia="仿宋_GB2312" w:cs="Times New Roman"/>
                <w:kern w:val="0"/>
                <w:sz w:val="20"/>
                <w:szCs w:val="20"/>
              </w:rPr>
            </w:pPr>
          </w:p>
        </w:tc>
        <w:tc>
          <w:tcPr>
            <w:tcW w:w="2056"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0.81</w:t>
            </w:r>
          </w:p>
        </w:tc>
        <w:tc>
          <w:tcPr>
            <w:tcW w:w="2035"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bl>
    <w:p>
      <w:pPr>
        <w:spacing w:before="240"/>
        <w:ind w:firstLine="480" w:firstLineChars="0"/>
        <w:jc w:val="center"/>
        <w:rPr>
          <w:rFonts w:ascii="黑体" w:hAnsi="黑体" w:eastAsia="黑体" w:cs="Times New Roman"/>
          <w:bCs/>
          <w:kern w:val="0"/>
          <w:szCs w:val="28"/>
        </w:rPr>
      </w:pPr>
      <w:r>
        <w:rPr>
          <w:rFonts w:ascii="黑体" w:hAnsi="黑体" w:eastAsia="黑体" w:cs="Times New Roman"/>
          <w:bCs/>
          <w:kern w:val="0"/>
          <w:szCs w:val="28"/>
        </w:rPr>
        <w:t>表3 玻璃、陶瓷等建材制造过程VOCs产污系数</w:t>
      </w:r>
    </w:p>
    <w:tbl>
      <w:tblPr>
        <w:tblStyle w:val="61"/>
        <w:tblW w:w="8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9"/>
        <w:gridCol w:w="1795"/>
        <w:gridCol w:w="1894"/>
        <w:gridCol w:w="1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行业</w:t>
            </w:r>
          </w:p>
        </w:tc>
        <w:tc>
          <w:tcPr>
            <w:tcW w:w="1795"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类型</w:t>
            </w:r>
          </w:p>
        </w:tc>
        <w:tc>
          <w:tcPr>
            <w:tcW w:w="189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VOCs产污系数</w:t>
            </w:r>
          </w:p>
        </w:tc>
        <w:tc>
          <w:tcPr>
            <w:tcW w:w="1876"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2809"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玻璃</w:t>
            </w:r>
          </w:p>
        </w:tc>
        <w:tc>
          <w:tcPr>
            <w:tcW w:w="1795"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平板玻璃</w:t>
            </w:r>
          </w:p>
        </w:tc>
        <w:tc>
          <w:tcPr>
            <w:tcW w:w="189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0.10</w:t>
            </w:r>
          </w:p>
        </w:tc>
        <w:tc>
          <w:tcPr>
            <w:tcW w:w="1876"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玻璃产品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vAlign w:val="center"/>
          </w:tcPr>
          <w:p>
            <w:pPr>
              <w:ind w:firstLine="0" w:firstLineChars="0"/>
              <w:jc w:val="center"/>
              <w:rPr>
                <w:rFonts w:eastAsia="仿宋_GB2312" w:cs="Times New Roman"/>
                <w:kern w:val="0"/>
                <w:sz w:val="20"/>
                <w:szCs w:val="20"/>
              </w:rPr>
            </w:pP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压吹玻璃</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4.70</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玻璃产品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vAlign w:val="center"/>
          </w:tcPr>
          <w:p>
            <w:pPr>
              <w:ind w:firstLine="0" w:firstLineChars="0"/>
              <w:jc w:val="center"/>
              <w:rPr>
                <w:rFonts w:eastAsia="仿宋_GB2312" w:cs="Times New Roman"/>
                <w:kern w:val="0"/>
                <w:sz w:val="20"/>
                <w:szCs w:val="20"/>
              </w:rPr>
            </w:pP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玻璃纤维</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1.825</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玻璃产品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陶瓷</w:t>
            </w: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卫生陶瓷</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0.22</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陶瓷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vAlign w:val="center"/>
          </w:tcPr>
          <w:p>
            <w:pPr>
              <w:ind w:firstLine="0" w:firstLineChars="0"/>
              <w:jc w:val="center"/>
              <w:rPr>
                <w:rFonts w:eastAsia="仿宋_GB2312" w:cs="Times New Roman"/>
                <w:kern w:val="0"/>
                <w:sz w:val="20"/>
                <w:szCs w:val="20"/>
              </w:rPr>
            </w:pP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搪瓷</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0.22</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 陶瓷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2809" w:type="dxa"/>
            <w:vAlign w:val="center"/>
          </w:tcPr>
          <w:p>
            <w:pPr>
              <w:widowControl/>
              <w:ind w:firstLine="0" w:firstLineChars="0"/>
              <w:jc w:val="center"/>
              <w:rPr>
                <w:rFonts w:eastAsia="仿宋_GB2312" w:cs="Times New Roman"/>
                <w:kern w:val="0"/>
                <w:sz w:val="20"/>
                <w:szCs w:val="20"/>
              </w:rPr>
            </w:pPr>
            <w:r>
              <w:rPr>
                <w:rFonts w:eastAsia="仿宋_GB2312" w:cs="Times New Roman"/>
                <w:kern w:val="0"/>
                <w:sz w:val="20"/>
                <w:szCs w:val="20"/>
              </w:rPr>
              <w:t>水泥、石灰和石膏制造</w:t>
            </w: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水泥熟料</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0.059</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vAlign w:val="center"/>
          </w:tcPr>
          <w:p>
            <w:pPr>
              <w:ind w:firstLine="0" w:firstLineChars="0"/>
              <w:jc w:val="center"/>
              <w:rPr>
                <w:rFonts w:eastAsia="仿宋_GB2312" w:cs="Times New Roman"/>
                <w:kern w:val="0"/>
                <w:sz w:val="20"/>
                <w:szCs w:val="20"/>
              </w:rPr>
            </w:pP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石灰</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0.01</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vAlign w:val="center"/>
          </w:tcPr>
          <w:p>
            <w:pPr>
              <w:ind w:firstLine="0" w:firstLineChars="0"/>
              <w:jc w:val="center"/>
              <w:rPr>
                <w:rFonts w:eastAsia="仿宋_GB2312" w:cs="Times New Roman"/>
                <w:kern w:val="0"/>
                <w:sz w:val="20"/>
                <w:szCs w:val="20"/>
              </w:rPr>
            </w:pP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石膏</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0.032</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2809" w:type="dxa"/>
            <w:vAlign w:val="center"/>
          </w:tcPr>
          <w:p>
            <w:pPr>
              <w:widowControl/>
              <w:ind w:firstLine="0" w:firstLineChars="0"/>
              <w:jc w:val="center"/>
              <w:rPr>
                <w:rFonts w:eastAsia="仿宋_GB2312" w:cs="Times New Roman"/>
                <w:kern w:val="0"/>
                <w:sz w:val="20"/>
                <w:szCs w:val="20"/>
              </w:rPr>
            </w:pPr>
            <w:r>
              <w:rPr>
                <w:rFonts w:eastAsia="仿宋_GB2312" w:cs="Times New Roman"/>
                <w:kern w:val="0"/>
                <w:sz w:val="20"/>
                <w:szCs w:val="20"/>
              </w:rPr>
              <w:t>砖瓦等建材</w:t>
            </w:r>
          </w:p>
        </w:tc>
        <w:tc>
          <w:tcPr>
            <w:tcW w:w="1795"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砖及粘土制品</w:t>
            </w:r>
          </w:p>
        </w:tc>
        <w:tc>
          <w:tcPr>
            <w:tcW w:w="189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0.034</w:t>
            </w:r>
          </w:p>
        </w:tc>
        <w:tc>
          <w:tcPr>
            <w:tcW w:w="1876"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2809" w:type="dxa"/>
            <w:tcBorders>
              <w:bottom w:val="single" w:color="auto" w:sz="4" w:space="0"/>
            </w:tcBorders>
            <w:vAlign w:val="center"/>
          </w:tcPr>
          <w:p>
            <w:pPr>
              <w:ind w:firstLine="0" w:firstLineChars="0"/>
              <w:jc w:val="center"/>
              <w:rPr>
                <w:rFonts w:eastAsia="仿宋_GB2312" w:cs="Times New Roman"/>
                <w:kern w:val="0"/>
                <w:sz w:val="20"/>
                <w:szCs w:val="20"/>
              </w:rPr>
            </w:pPr>
          </w:p>
        </w:tc>
        <w:tc>
          <w:tcPr>
            <w:tcW w:w="1795"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沥青制品</w:t>
            </w:r>
          </w:p>
        </w:tc>
        <w:tc>
          <w:tcPr>
            <w:tcW w:w="1894"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0.43</w:t>
            </w:r>
          </w:p>
        </w:tc>
        <w:tc>
          <w:tcPr>
            <w:tcW w:w="1876"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bl>
    <w:p>
      <w:pPr>
        <w:spacing w:before="240"/>
        <w:ind w:firstLine="480" w:firstLineChars="0"/>
        <w:jc w:val="center"/>
        <w:rPr>
          <w:rFonts w:ascii="黑体" w:hAnsi="黑体" w:eastAsia="黑体" w:cs="Times New Roman"/>
          <w:bCs/>
          <w:kern w:val="0"/>
          <w:szCs w:val="28"/>
        </w:rPr>
      </w:pPr>
      <w:r>
        <w:rPr>
          <w:rFonts w:ascii="黑体" w:hAnsi="黑体" w:eastAsia="黑体" w:cs="Times New Roman"/>
          <w:bCs/>
          <w:kern w:val="0"/>
          <w:szCs w:val="28"/>
        </w:rPr>
        <w:t>表4 酒、植物油制造过程VOCs产污系数</w:t>
      </w:r>
    </w:p>
    <w:tbl>
      <w:tblPr>
        <w:tblStyle w:val="62"/>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4"/>
        <w:gridCol w:w="2074"/>
        <w:gridCol w:w="2074"/>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行业</w:t>
            </w:r>
          </w:p>
        </w:tc>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分类</w:t>
            </w:r>
          </w:p>
        </w:tc>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VOCs产污系数</w:t>
            </w:r>
          </w:p>
        </w:tc>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酒</w:t>
            </w:r>
          </w:p>
        </w:tc>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白酒</w:t>
            </w:r>
          </w:p>
        </w:tc>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14.45</w:t>
            </w:r>
          </w:p>
        </w:tc>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g/L酒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啤酒</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0.25</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g/L 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红酒</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3.85</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g/L 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酒精</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32.1</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g/L酒精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植物油—萃取</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植物油</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4.0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g/L植物油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饲料加工</w:t>
            </w:r>
          </w:p>
        </w:tc>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1.0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制糖</w:t>
            </w:r>
          </w:p>
        </w:tc>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0.195</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肉类加工</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熏肉</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0.14</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动物油提取</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0.33</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熟肉/鱼/禽类加工</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0.30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煎肉</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1.30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水产品加工</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鱼类</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1.00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焙烤食品制造</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面包</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4.71</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p>
        </w:tc>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饼干</w:t>
            </w:r>
          </w:p>
        </w:tc>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1.00</w:t>
            </w:r>
          </w:p>
        </w:tc>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kg/t产品</w:t>
            </w:r>
          </w:p>
        </w:tc>
      </w:tr>
    </w:tbl>
    <w:p>
      <w:pPr>
        <w:ind w:firstLine="480" w:firstLineChars="0"/>
        <w:rPr>
          <w:rFonts w:eastAsia="仿宋_GB2312" w:cs="Times New Roman"/>
        </w:rPr>
      </w:pPr>
    </w:p>
    <w:p>
      <w:pPr>
        <w:ind w:firstLine="480" w:firstLineChars="0"/>
        <w:rPr>
          <w:rFonts w:eastAsia="仿宋_GB2312" w:cs="Times New Roman"/>
          <w:b/>
          <w:sz w:val="32"/>
          <w:szCs w:val="32"/>
        </w:rPr>
      </w:pPr>
      <w:r>
        <w:rPr>
          <w:rFonts w:eastAsia="仿宋_GB2312" w:cs="Times New Roman"/>
          <w:b/>
          <w:sz w:val="32"/>
          <w:szCs w:val="32"/>
        </w:rPr>
        <w:t>2、溶剂使用源VOCs产污系数参考值</w:t>
      </w:r>
    </w:p>
    <w:p>
      <w:pPr>
        <w:spacing w:before="240"/>
        <w:ind w:firstLine="480" w:firstLineChars="0"/>
        <w:jc w:val="center"/>
        <w:rPr>
          <w:rFonts w:ascii="黑体" w:hAnsi="黑体" w:eastAsia="黑体" w:cs="Times New Roman"/>
          <w:bCs/>
          <w:kern w:val="0"/>
          <w:szCs w:val="28"/>
        </w:rPr>
      </w:pPr>
      <w:r>
        <w:rPr>
          <w:rFonts w:ascii="黑体" w:hAnsi="黑体" w:eastAsia="黑体" w:cs="Times New Roman"/>
          <w:bCs/>
          <w:kern w:val="0"/>
          <w:szCs w:val="28"/>
        </w:rPr>
        <w:t>表5 典型溶剂产品VOCs产污系数</w:t>
      </w:r>
    </w:p>
    <w:tbl>
      <w:tblPr>
        <w:tblStyle w:val="14"/>
        <w:tblW w:w="8522" w:type="dxa"/>
        <w:tblInd w:w="0" w:type="dxa"/>
        <w:tblLayout w:type="fixed"/>
        <w:tblCellMar>
          <w:top w:w="0" w:type="dxa"/>
          <w:left w:w="108" w:type="dxa"/>
          <w:bottom w:w="0" w:type="dxa"/>
          <w:right w:w="108" w:type="dxa"/>
        </w:tblCellMar>
      </w:tblPr>
      <w:tblGrid>
        <w:gridCol w:w="2194"/>
        <w:gridCol w:w="2110"/>
        <w:gridCol w:w="2110"/>
        <w:gridCol w:w="2108"/>
      </w:tblGrid>
      <w:tr>
        <w:tblPrEx>
          <w:tblLayout w:type="fixed"/>
          <w:tblCellMar>
            <w:top w:w="0" w:type="dxa"/>
            <w:left w:w="108" w:type="dxa"/>
            <w:bottom w:w="0" w:type="dxa"/>
            <w:right w:w="108" w:type="dxa"/>
          </w:tblCellMar>
        </w:tblPrEx>
        <w:trPr>
          <w:trHeight w:val="270" w:hRule="atLeast"/>
          <w:tblHeader/>
        </w:trPr>
        <w:tc>
          <w:tcPr>
            <w:tcW w:w="2194" w:type="dxa"/>
            <w:tcBorders>
              <w:top w:val="single" w:color="auto" w:sz="4" w:space="0"/>
              <w:bottom w:val="single" w:color="auto" w:sz="4" w:space="0"/>
            </w:tcBorders>
            <w:shd w:val="clear" w:color="auto" w:fill="auto"/>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行业</w:t>
            </w:r>
          </w:p>
        </w:tc>
        <w:tc>
          <w:tcPr>
            <w:tcW w:w="2110"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溶剂类型</w:t>
            </w:r>
          </w:p>
        </w:tc>
        <w:tc>
          <w:tcPr>
            <w:tcW w:w="2110"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溶剂名称</w:t>
            </w:r>
          </w:p>
        </w:tc>
        <w:tc>
          <w:tcPr>
            <w:tcW w:w="2108"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VOCs产污系数（g/kg）</w:t>
            </w:r>
          </w:p>
        </w:tc>
      </w:tr>
      <w:tr>
        <w:tblPrEx>
          <w:tblLayout w:type="fixed"/>
          <w:tblCellMar>
            <w:top w:w="0" w:type="dxa"/>
            <w:left w:w="108" w:type="dxa"/>
            <w:bottom w:w="0" w:type="dxa"/>
            <w:right w:w="108" w:type="dxa"/>
          </w:tblCellMar>
        </w:tblPrEx>
        <w:trPr>
          <w:trHeight w:val="270" w:hRule="atLeast"/>
        </w:trPr>
        <w:tc>
          <w:tcPr>
            <w:tcW w:w="2194" w:type="dxa"/>
            <w:tcBorders>
              <w:top w:val="single" w:color="auto" w:sz="4" w:space="0"/>
            </w:tcBorders>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kern w:val="0"/>
                <w:sz w:val="20"/>
                <w:szCs w:val="20"/>
              </w:rPr>
              <w:t>汽车制造</w:t>
            </w:r>
          </w:p>
        </w:tc>
        <w:tc>
          <w:tcPr>
            <w:tcW w:w="2110" w:type="dxa"/>
            <w:tcBorders>
              <w:top w:val="single" w:color="auto" w:sz="4" w:space="0"/>
            </w:tcBorders>
            <w:vAlign w:val="center"/>
          </w:tcPr>
          <w:p>
            <w:pPr>
              <w:widowControl/>
              <w:ind w:firstLine="0" w:firstLineChars="0"/>
              <w:jc w:val="center"/>
              <w:rPr>
                <w:rFonts w:eastAsia="仿宋_GB2312" w:cs="Times New Roman"/>
                <w:b/>
                <w:sz w:val="20"/>
                <w:szCs w:val="20"/>
              </w:rPr>
            </w:pPr>
            <w:r>
              <w:rPr>
                <w:rFonts w:eastAsia="仿宋_GB2312" w:cs="Times New Roman"/>
                <w:sz w:val="20"/>
                <w:szCs w:val="20"/>
              </w:rPr>
              <w:t>胶粘剂</w:t>
            </w:r>
          </w:p>
        </w:tc>
        <w:tc>
          <w:tcPr>
            <w:tcW w:w="2110" w:type="dxa"/>
            <w:tcBorders>
              <w:top w:val="single" w:color="auto" w:sz="4" w:space="0"/>
            </w:tcBorders>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本体型胶</w:t>
            </w:r>
          </w:p>
        </w:tc>
        <w:tc>
          <w:tcPr>
            <w:tcW w:w="2108" w:type="dxa"/>
            <w:tcBorders>
              <w:top w:val="single" w:color="auto" w:sz="4" w:space="0"/>
            </w:tcBorders>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b/>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溶剂型胶</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b/>
                <w:sz w:val="20"/>
                <w:szCs w:val="20"/>
              </w:rPr>
            </w:pPr>
            <w:r>
              <w:rPr>
                <w:rFonts w:eastAsia="仿宋_GB2312" w:cs="Times New Roman"/>
                <w:sz w:val="20"/>
                <w:szCs w:val="20"/>
              </w:rPr>
              <w:t>底漆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700.00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b/>
                <w:sz w:val="20"/>
                <w:szCs w:val="20"/>
              </w:rPr>
            </w:pPr>
            <w:r>
              <w:rPr>
                <w:rFonts w:eastAsia="仿宋_GB2312" w:cs="Times New Roman"/>
                <w:sz w:val="20"/>
                <w:szCs w:val="20"/>
              </w:rPr>
              <w:t>底漆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阴极电泳漆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二道底漆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650.00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二道底漆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水性涂料</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250.00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面漆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780.00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面漆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分散漆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720.00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面漆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色漆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650.00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面漆</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清漆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kern w:val="0"/>
                <w:sz w:val="20"/>
                <w:szCs w:val="20"/>
              </w:rPr>
              <w:t>船舶制造</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酚醛树脂漆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沥青漆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醇酸漆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氨基树脂漆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430.00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硝基漆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丙烯酸漆</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元素有机漆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橡胶漆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防污涂料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400.00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不沾污涂料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船用底漆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450.00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船用面漆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420.00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通用底漆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车间底漆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380.67</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380.67</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船舶涂料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560.00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稀释剂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固化剂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清洗剂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金属钢构/集装箱</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天然树脂漆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酚醛树脂漆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沥青漆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醇酸漆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过氯乙烯漆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800.00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烯类树脂漆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丙烯酸漆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环氧漆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聚氨酯漆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元素有机漆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橡胶漆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385.00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385.00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防腐涂料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稀释剂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固化剂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金属卷材</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氨基树脂漆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430.00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丙烯酸漆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环氧漆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聚氨酯漆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元素有机漆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348.33</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348.33</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卷材涂料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稀释剂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固化剂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油墨使用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各类油墨</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鞋</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本体型胶</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溶剂型胶</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167.50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制鞋涂料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天然树脂漆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制鞋涂料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光油</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制鞋涂料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稀释剂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固化剂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各类助剂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木制品加工(以原料计)</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223.33</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所有家具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本体型胶</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223.33</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木器涂料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聚氨酯漆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木器涂料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环氧漆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木器涂料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硝基漆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木器涂料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酸固化涂料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木器涂料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木器涂料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稀释剂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固化剂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清洗剂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印刷品</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溶剂型胶</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塑料里印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塑料里印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塑料里印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塑料里印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塑料里印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800.00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塑料里印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塑料表印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塑料表印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塑料表印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塑料表印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塑料表印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塑料表印</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凹版印刷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凹版印刷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凹版印刷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凹版印刷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凹版印刷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凹版印刷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凸版印刷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凸版印刷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凸版印刷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凸版印刷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凸版印刷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凸版印刷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柔版印刷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柔版印刷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柔版印刷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柔版印刷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柔版印刷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柔版印刷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丝网印刷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丝网印刷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丝网印刷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丝网印刷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丝网印刷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丝网印刷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800.00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胶版印刷</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商业轮转</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商业轮转</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商业轮转</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商业轮转</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商业轮转</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商业轮转</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醇溶油墨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大豆油墨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UV油墨</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70.00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各类文教体育用品</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本体型胶</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溶剂型胶</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胶粘剂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167.50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丙烯酸漆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环氧漆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聚氨酯漆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345.0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345.00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办公用品涂料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即用状态溶剂型涂料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550.0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稀释剂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固化剂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清洗剂</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漆包线</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酚醛树脂漆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沥青漆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醇酸漆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氨基树脂漆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430.00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烯类树脂漆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丙烯酸漆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环氧漆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聚氨酯漆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元素有机漆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橡胶漆</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280.00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溶剂型涂料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360.91</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UV涂料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水性涂料</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绝缘涂料</w:t>
            </w:r>
          </w:p>
        </w:tc>
        <w:tc>
          <w:tcPr>
            <w:tcW w:w="2110"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sz w:val="20"/>
                <w:szCs w:val="20"/>
              </w:rPr>
            </w:pPr>
            <w:r>
              <w:rPr>
                <w:rFonts w:eastAsia="仿宋_GB2312" w:cs="Times New Roman"/>
                <w:sz w:val="20"/>
                <w:szCs w:val="20"/>
              </w:rPr>
              <w:t>360.91</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固化剂</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清洗剂</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w:t>
            </w: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1000.00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纸制品-胶粘剂</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水基型胶</w:t>
            </w:r>
          </w:p>
        </w:tc>
        <w:tc>
          <w:tcPr>
            <w:tcW w:w="2110" w:type="dxa"/>
          </w:tcPr>
          <w:p>
            <w:pPr>
              <w:widowControl/>
              <w:ind w:firstLine="0" w:firstLineChars="0"/>
              <w:jc w:val="center"/>
              <w:rPr>
                <w:rFonts w:eastAsia="仿宋_GB2312" w:cs="Times New Roman"/>
                <w:sz w:val="20"/>
                <w:szCs w:val="20"/>
              </w:rPr>
            </w:pP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10.00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本体型胶</w:t>
            </w:r>
          </w:p>
        </w:tc>
        <w:tc>
          <w:tcPr>
            <w:tcW w:w="2110" w:type="dxa"/>
          </w:tcPr>
          <w:p>
            <w:pPr>
              <w:widowControl/>
              <w:ind w:firstLine="0" w:firstLineChars="0"/>
              <w:jc w:val="center"/>
              <w:rPr>
                <w:rFonts w:eastAsia="仿宋_GB2312" w:cs="Times New Roman"/>
                <w:sz w:val="20"/>
                <w:szCs w:val="20"/>
              </w:rPr>
            </w:pP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溶剂型胶</w:t>
            </w:r>
          </w:p>
        </w:tc>
        <w:tc>
          <w:tcPr>
            <w:tcW w:w="2110" w:type="dxa"/>
          </w:tcPr>
          <w:p>
            <w:pPr>
              <w:widowControl/>
              <w:ind w:firstLine="0" w:firstLineChars="0"/>
              <w:jc w:val="center"/>
              <w:rPr>
                <w:rFonts w:eastAsia="仿宋_GB2312" w:cs="Times New Roman"/>
                <w:sz w:val="20"/>
                <w:szCs w:val="20"/>
              </w:rPr>
            </w:pP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600.00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w:t>
            </w:r>
          </w:p>
        </w:tc>
        <w:tc>
          <w:tcPr>
            <w:tcW w:w="2110" w:type="dxa"/>
          </w:tcPr>
          <w:p>
            <w:pPr>
              <w:widowControl/>
              <w:ind w:firstLine="0" w:firstLineChars="0"/>
              <w:jc w:val="center"/>
              <w:rPr>
                <w:rFonts w:eastAsia="仿宋_GB2312" w:cs="Times New Roman"/>
                <w:sz w:val="20"/>
                <w:szCs w:val="20"/>
              </w:rPr>
            </w:pP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20.00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纸张涂料</w:t>
            </w: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水性涂料</w:t>
            </w:r>
          </w:p>
        </w:tc>
        <w:tc>
          <w:tcPr>
            <w:tcW w:w="2110" w:type="dxa"/>
          </w:tcPr>
          <w:p>
            <w:pPr>
              <w:widowControl/>
              <w:ind w:firstLine="0" w:firstLineChars="0"/>
              <w:jc w:val="center"/>
              <w:rPr>
                <w:rFonts w:eastAsia="仿宋_GB2312" w:cs="Times New Roman"/>
                <w:sz w:val="20"/>
                <w:szCs w:val="20"/>
              </w:rPr>
            </w:pP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150.00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溶剂型涂料</w:t>
            </w:r>
          </w:p>
        </w:tc>
        <w:tc>
          <w:tcPr>
            <w:tcW w:w="2110" w:type="dxa"/>
          </w:tcPr>
          <w:p>
            <w:pPr>
              <w:widowControl/>
              <w:ind w:firstLine="0" w:firstLineChars="0"/>
              <w:jc w:val="center"/>
              <w:rPr>
                <w:rFonts w:eastAsia="仿宋_GB2312" w:cs="Times New Roman"/>
                <w:sz w:val="20"/>
                <w:szCs w:val="20"/>
              </w:rPr>
            </w:pP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500.00</w:t>
            </w:r>
          </w:p>
        </w:tc>
      </w:tr>
      <w:tr>
        <w:tblPrEx>
          <w:tblLayout w:type="fixed"/>
          <w:tblCellMar>
            <w:top w:w="0" w:type="dxa"/>
            <w:left w:w="108" w:type="dxa"/>
            <w:bottom w:w="0" w:type="dxa"/>
            <w:right w:w="108" w:type="dxa"/>
          </w:tblCellMar>
        </w:tblPrEx>
        <w:trPr>
          <w:trHeight w:val="270" w:hRule="atLeast"/>
        </w:trPr>
        <w:tc>
          <w:tcPr>
            <w:tcW w:w="2194" w:type="dxa"/>
            <w:shd w:val="clear" w:color="auto" w:fill="auto"/>
            <w:vAlign w:val="center"/>
          </w:tcPr>
          <w:p>
            <w:pPr>
              <w:widowControl/>
              <w:ind w:firstLine="0" w:firstLineChars="0"/>
              <w:jc w:val="center"/>
              <w:rPr>
                <w:rFonts w:eastAsia="仿宋_GB2312" w:cs="Times New Roman"/>
                <w:kern w:val="0"/>
                <w:sz w:val="20"/>
                <w:szCs w:val="20"/>
              </w:rPr>
            </w:pPr>
          </w:p>
        </w:tc>
        <w:tc>
          <w:tcPr>
            <w:tcW w:w="2110"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无溶剂型涂料</w:t>
            </w:r>
          </w:p>
        </w:tc>
        <w:tc>
          <w:tcPr>
            <w:tcW w:w="2110" w:type="dxa"/>
          </w:tcPr>
          <w:p>
            <w:pPr>
              <w:widowControl/>
              <w:ind w:firstLine="0" w:firstLineChars="0"/>
              <w:jc w:val="center"/>
              <w:rPr>
                <w:rFonts w:eastAsia="仿宋_GB2312" w:cs="Times New Roman"/>
                <w:sz w:val="20"/>
                <w:szCs w:val="20"/>
              </w:rPr>
            </w:pPr>
          </w:p>
        </w:tc>
        <w:tc>
          <w:tcPr>
            <w:tcW w:w="2108" w:type="dxa"/>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0.00</w:t>
            </w:r>
          </w:p>
        </w:tc>
      </w:tr>
      <w:tr>
        <w:tblPrEx>
          <w:tblLayout w:type="fixed"/>
          <w:tblCellMar>
            <w:top w:w="0" w:type="dxa"/>
            <w:left w:w="108" w:type="dxa"/>
            <w:bottom w:w="0" w:type="dxa"/>
            <w:right w:w="108" w:type="dxa"/>
          </w:tblCellMar>
        </w:tblPrEx>
        <w:trPr>
          <w:trHeight w:val="270" w:hRule="atLeast"/>
        </w:trPr>
        <w:tc>
          <w:tcPr>
            <w:tcW w:w="2194" w:type="dxa"/>
            <w:tcBorders>
              <w:bottom w:val="single" w:color="auto" w:sz="4" w:space="0"/>
            </w:tcBorders>
            <w:shd w:val="clear" w:color="auto" w:fill="auto"/>
            <w:vAlign w:val="center"/>
          </w:tcPr>
          <w:p>
            <w:pPr>
              <w:widowControl/>
              <w:ind w:firstLine="0" w:firstLineChars="0"/>
              <w:jc w:val="center"/>
              <w:rPr>
                <w:rFonts w:eastAsia="仿宋_GB2312" w:cs="Times New Roman"/>
                <w:kern w:val="0"/>
                <w:sz w:val="20"/>
                <w:szCs w:val="20"/>
              </w:rPr>
            </w:pPr>
          </w:p>
        </w:tc>
        <w:tc>
          <w:tcPr>
            <w:tcW w:w="2110" w:type="dxa"/>
            <w:tcBorders>
              <w:bottom w:val="single" w:color="auto" w:sz="4" w:space="0"/>
            </w:tcBorders>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w:t>
            </w:r>
          </w:p>
        </w:tc>
        <w:tc>
          <w:tcPr>
            <w:tcW w:w="2110" w:type="dxa"/>
            <w:tcBorders>
              <w:bottom w:val="single" w:color="auto" w:sz="4" w:space="0"/>
            </w:tcBorders>
          </w:tcPr>
          <w:p>
            <w:pPr>
              <w:widowControl/>
              <w:ind w:firstLine="0" w:firstLineChars="0"/>
              <w:jc w:val="center"/>
              <w:rPr>
                <w:rFonts w:eastAsia="仿宋_GB2312" w:cs="Times New Roman"/>
                <w:sz w:val="20"/>
                <w:szCs w:val="20"/>
              </w:rPr>
            </w:pPr>
          </w:p>
        </w:tc>
        <w:tc>
          <w:tcPr>
            <w:tcW w:w="2108" w:type="dxa"/>
            <w:tcBorders>
              <w:bottom w:val="single" w:color="auto" w:sz="4" w:space="0"/>
            </w:tcBorders>
            <w:vAlign w:val="center"/>
          </w:tcPr>
          <w:p>
            <w:pPr>
              <w:widowControl/>
              <w:ind w:firstLine="0" w:firstLineChars="0"/>
              <w:jc w:val="center"/>
              <w:rPr>
                <w:rFonts w:eastAsia="仿宋_GB2312" w:cs="Times New Roman"/>
                <w:kern w:val="0"/>
                <w:sz w:val="20"/>
                <w:szCs w:val="20"/>
              </w:rPr>
            </w:pPr>
            <w:r>
              <w:rPr>
                <w:rFonts w:eastAsia="仿宋_GB2312" w:cs="Times New Roman"/>
                <w:sz w:val="20"/>
                <w:szCs w:val="20"/>
              </w:rPr>
              <w:t>216.67</w:t>
            </w:r>
          </w:p>
        </w:tc>
      </w:tr>
    </w:tbl>
    <w:p>
      <w:pPr>
        <w:ind w:firstLine="480" w:firstLineChars="0"/>
        <w:rPr>
          <w:rFonts w:eastAsia="仿宋_GB2312" w:cs="Times New Roman"/>
        </w:rPr>
      </w:pPr>
    </w:p>
    <w:p>
      <w:pPr>
        <w:ind w:firstLine="480" w:firstLineChars="0"/>
        <w:rPr>
          <w:rFonts w:eastAsia="仿宋_GB2312" w:cs="Times New Roman"/>
          <w:b/>
          <w:sz w:val="32"/>
          <w:szCs w:val="32"/>
        </w:rPr>
      </w:pPr>
      <w:r>
        <w:rPr>
          <w:rFonts w:eastAsia="仿宋_GB2312" w:cs="Times New Roman"/>
          <w:b/>
          <w:sz w:val="32"/>
          <w:szCs w:val="32"/>
        </w:rPr>
        <w:t>3、VOCs去除效率参考值</w:t>
      </w:r>
    </w:p>
    <w:p>
      <w:pPr>
        <w:spacing w:line="560" w:lineRule="exact"/>
        <w:ind w:firstLine="640"/>
        <w:rPr>
          <w:rFonts w:eastAsia="仿宋_GB2312" w:cs="Times New Roman"/>
          <w:sz w:val="32"/>
          <w:szCs w:val="32"/>
        </w:rPr>
      </w:pPr>
      <w:r>
        <w:rPr>
          <w:rFonts w:eastAsia="仿宋_GB2312" w:cs="Times New Roman"/>
          <w:sz w:val="32"/>
          <w:szCs w:val="32"/>
        </w:rPr>
        <w:t>根据省生态环境科学研究院实际监测情况，VOCs处理效率取值可参考表6：</w:t>
      </w:r>
    </w:p>
    <w:p>
      <w:pPr>
        <w:spacing w:before="240"/>
        <w:ind w:firstLine="480" w:firstLineChars="0"/>
        <w:jc w:val="center"/>
        <w:rPr>
          <w:rFonts w:ascii="黑体" w:hAnsi="黑体" w:eastAsia="黑体" w:cs="Times New Roman"/>
          <w:bCs/>
          <w:kern w:val="0"/>
          <w:szCs w:val="28"/>
        </w:rPr>
      </w:pPr>
      <w:r>
        <w:rPr>
          <w:rFonts w:ascii="黑体" w:hAnsi="黑体" w:eastAsia="黑体" w:cs="Times New Roman"/>
          <w:bCs/>
          <w:kern w:val="0"/>
          <w:szCs w:val="28"/>
        </w:rPr>
        <w:t>表6 治理设施系数减排效率</w:t>
      </w:r>
    </w:p>
    <w:tbl>
      <w:tblPr>
        <w:tblStyle w:val="15"/>
        <w:tblW w:w="8662"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33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治理工艺</w:t>
            </w:r>
          </w:p>
        </w:tc>
        <w:tc>
          <w:tcPr>
            <w:tcW w:w="4331"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VOCs去除效率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jc w:val="center"/>
        </w:trPr>
        <w:tc>
          <w:tcPr>
            <w:tcW w:w="4331" w:type="dxa"/>
            <w:tcBorders>
              <w:top w:val="single" w:color="auto" w:sz="4" w:space="0"/>
            </w:tcBorders>
            <w:vAlign w:val="center"/>
          </w:tcPr>
          <w:p>
            <w:pPr>
              <w:ind w:firstLine="0" w:firstLineChars="0"/>
              <w:jc w:val="center"/>
              <w:rPr>
                <w:rFonts w:eastAsia="仿宋_GB2312" w:cs="Times New Roman"/>
                <w:sz w:val="20"/>
                <w:szCs w:val="20"/>
              </w:rPr>
            </w:pPr>
            <w:r>
              <w:rPr>
                <w:rFonts w:eastAsia="仿宋_GB2312" w:cs="Times New Roman"/>
                <w:sz w:val="20"/>
                <w:szCs w:val="20"/>
              </w:rPr>
              <w:t>沸石转轮+焚烧装置</w:t>
            </w:r>
          </w:p>
        </w:tc>
        <w:tc>
          <w:tcPr>
            <w:tcW w:w="4331" w:type="dxa"/>
            <w:tcBorders>
              <w:top w:val="single" w:color="auto" w:sz="4" w:space="0"/>
            </w:tcBorders>
            <w:vAlign w:val="center"/>
          </w:tcPr>
          <w:p>
            <w:pPr>
              <w:ind w:firstLine="0" w:firstLineChars="0"/>
              <w:jc w:val="center"/>
              <w:rPr>
                <w:rFonts w:eastAsia="仿宋_GB2312" w:cs="Times New Roman"/>
                <w:sz w:val="20"/>
                <w:szCs w:val="20"/>
              </w:rPr>
            </w:pPr>
            <w:r>
              <w:rPr>
                <w:rFonts w:eastAsia="仿宋_GB2312" w:cs="Times New Roman"/>
                <w:sz w:val="20"/>
                <w:szCs w:val="20"/>
              </w:rPr>
              <w:t>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焚烧装置</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蓄热式催化燃烧（RCO）</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热回收式燃烧装置</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催化燃烧法</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活性炭吸附技术</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UV光解</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UV光解+低温等离子体</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水喷淋</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冷凝回收</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催化氧化</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其他</w:t>
            </w:r>
          </w:p>
        </w:tc>
        <w:tc>
          <w:tcPr>
            <w:tcW w:w="4331" w:type="dxa"/>
            <w:vAlign w:val="center"/>
          </w:tcPr>
          <w:p>
            <w:pPr>
              <w:ind w:firstLine="0" w:firstLineChars="0"/>
              <w:jc w:val="center"/>
              <w:rPr>
                <w:rFonts w:eastAsia="仿宋_GB2312" w:cs="Times New Roman"/>
                <w:sz w:val="20"/>
                <w:szCs w:val="20"/>
              </w:rPr>
            </w:pPr>
            <w:r>
              <w:rPr>
                <w:rFonts w:eastAsia="仿宋_GB2312" w:cs="Times New Roman"/>
                <w:sz w:val="20"/>
                <w:szCs w:val="20"/>
              </w:rPr>
              <w:t>30%</w:t>
            </w:r>
          </w:p>
        </w:tc>
      </w:tr>
    </w:tbl>
    <w:p>
      <w:pPr>
        <w:spacing w:line="560" w:lineRule="exact"/>
        <w:ind w:firstLine="482" w:firstLineChars="0"/>
        <w:rPr>
          <w:rFonts w:ascii="仿宋_GB2312" w:eastAsia="仿宋_GB2312" w:cs="Times New Roman"/>
          <w:sz w:val="22"/>
        </w:rPr>
      </w:pPr>
      <w:r>
        <w:rPr>
          <w:rFonts w:hint="eastAsia" w:ascii="仿宋_GB2312" w:eastAsia="仿宋_GB2312" w:cs="Times New Roman"/>
          <w:sz w:val="22"/>
        </w:rPr>
        <w:t>若开展了VOCs浓度监测的，可根据实际监测结果确定VOCs去除效率，但需提供有资质的监测机构开展的监测报告。</w:t>
      </w:r>
    </w:p>
    <w:p>
      <w:pPr>
        <w:spacing w:line="560" w:lineRule="exact"/>
        <w:ind w:firstLine="482" w:firstLineChars="0"/>
        <w:rPr>
          <w:rFonts w:eastAsia="仿宋_GB2312" w:cs="Times New Roman"/>
          <w:b/>
          <w:sz w:val="32"/>
          <w:szCs w:val="32"/>
        </w:rPr>
      </w:pPr>
      <w:r>
        <w:rPr>
          <w:rFonts w:eastAsia="仿宋_GB2312" w:cs="Times New Roman"/>
          <w:b/>
          <w:sz w:val="32"/>
          <w:szCs w:val="32"/>
        </w:rPr>
        <w:t>（二）燃烧过程</w:t>
      </w:r>
    </w:p>
    <w:p>
      <w:pPr>
        <w:spacing w:line="560" w:lineRule="exact"/>
        <w:ind w:firstLine="482" w:firstLineChars="0"/>
        <w:rPr>
          <w:rFonts w:eastAsia="仿宋_GB2312" w:cs="Times New Roman"/>
          <w:sz w:val="32"/>
          <w:szCs w:val="32"/>
        </w:rPr>
      </w:pPr>
      <w:r>
        <w:rPr>
          <w:rFonts w:eastAsia="仿宋_GB2312" w:cs="Times New Roman"/>
          <w:sz w:val="32"/>
          <w:szCs w:val="32"/>
        </w:rPr>
        <w:t>燃烧过程主要指工业企业对煤、天然气等燃料的使用。通过燃料使用前后排放量形成的差值核算出VOCs削减量。燃烧源产污系数可参考表7。</w:t>
      </w:r>
    </w:p>
    <w:p>
      <w:pPr>
        <w:spacing w:before="240"/>
        <w:ind w:firstLine="480" w:firstLineChars="0"/>
        <w:jc w:val="center"/>
        <w:rPr>
          <w:rFonts w:ascii="黑体" w:hAnsi="黑体" w:eastAsia="黑体" w:cs="Times New Roman"/>
          <w:bCs/>
          <w:kern w:val="0"/>
          <w:szCs w:val="28"/>
        </w:rPr>
      </w:pPr>
      <w:bookmarkStart w:id="0" w:name="OLE_LINK37"/>
      <w:r>
        <w:rPr>
          <w:rFonts w:ascii="黑体" w:hAnsi="黑体" w:eastAsia="黑体" w:cs="Times New Roman"/>
          <w:bCs/>
          <w:kern w:val="0"/>
          <w:szCs w:val="28"/>
        </w:rPr>
        <w:t>表7 火电、供热及工业锅炉燃烧源VOCs产污系数</w:t>
      </w:r>
    </w:p>
    <w:tbl>
      <w:tblPr>
        <w:tblStyle w:val="59"/>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4"/>
        <w:gridCol w:w="2074"/>
        <w:gridCol w:w="2074"/>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行业</w:t>
            </w:r>
          </w:p>
        </w:tc>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燃料</w:t>
            </w:r>
          </w:p>
        </w:tc>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VOCs产污系数</w:t>
            </w:r>
          </w:p>
        </w:tc>
        <w:tc>
          <w:tcPr>
            <w:tcW w:w="2074" w:type="dxa"/>
            <w:tcBorders>
              <w:top w:val="single" w:color="auto" w:sz="4" w:space="0"/>
              <w:bottom w:val="single" w:color="auto" w:sz="4" w:space="0"/>
            </w:tcBorders>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火电锅炉</w:t>
            </w:r>
          </w:p>
        </w:tc>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煤</w:t>
            </w:r>
          </w:p>
        </w:tc>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0.025</w:t>
            </w:r>
          </w:p>
        </w:tc>
        <w:tc>
          <w:tcPr>
            <w:tcW w:w="2074" w:type="dxa"/>
            <w:tcBorders>
              <w:top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煤气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0.00044</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g/m</w:t>
            </w:r>
            <w:r>
              <w:rPr>
                <w:rFonts w:eastAsia="仿宋_GB2312" w:cs="Times New Roman"/>
                <w:kern w:val="0"/>
                <w:sz w:val="20"/>
                <w:szCs w:val="20"/>
                <w:vertAlign w:val="superscript"/>
              </w:rPr>
              <w:t>3</w:t>
            </w:r>
            <w:r>
              <w:rPr>
                <w:rFonts w:eastAsia="仿宋_GB2312" w:cs="Times New Roman"/>
                <w:kern w:val="0"/>
                <w:sz w:val="20"/>
                <w:szCs w:val="20"/>
              </w:rPr>
              <w:t>煤气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液化石油气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g/kg液化石油气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天然气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0.088</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g/m</w:t>
            </w:r>
            <w:r>
              <w:rPr>
                <w:rFonts w:eastAsia="仿宋_GB2312" w:cs="Times New Roman"/>
                <w:kern w:val="0"/>
                <w:sz w:val="20"/>
                <w:szCs w:val="20"/>
                <w:vertAlign w:val="superscript"/>
              </w:rPr>
              <w:t>3</w:t>
            </w:r>
            <w:r>
              <w:rPr>
                <w:rFonts w:eastAsia="仿宋_GB2312" w:cs="Times New Roman"/>
                <w:kern w:val="0"/>
                <w:sz w:val="20"/>
                <w:szCs w:val="20"/>
              </w:rPr>
              <w:t>天然气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生物质燃料棒</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0.122</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g/kg生物质燃料棒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垃圾</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0.74</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供热锅炉</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煤</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0.025</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燃料油</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0.20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g/kg燃料油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煤气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0.00044</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g/m</w:t>
            </w:r>
            <w:r>
              <w:rPr>
                <w:rFonts w:eastAsia="仿宋_GB2312" w:cs="Times New Roman"/>
                <w:kern w:val="0"/>
                <w:sz w:val="20"/>
                <w:szCs w:val="20"/>
                <w:vertAlign w:val="superscript"/>
              </w:rPr>
              <w:t>3</w:t>
            </w:r>
            <w:r>
              <w:rPr>
                <w:rFonts w:eastAsia="仿宋_GB2312" w:cs="Times New Roman"/>
                <w:kern w:val="0"/>
                <w:sz w:val="20"/>
                <w:szCs w:val="20"/>
              </w:rPr>
              <w:t>煤气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液化石油气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g/kg液化石油气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天然气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0.088</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g/m</w:t>
            </w:r>
            <w:r>
              <w:rPr>
                <w:rFonts w:eastAsia="仿宋_GB2312" w:cs="Times New Roman"/>
                <w:kern w:val="0"/>
                <w:sz w:val="20"/>
                <w:szCs w:val="20"/>
                <w:vertAlign w:val="superscript"/>
              </w:rPr>
              <w:t>3</w:t>
            </w:r>
            <w:r>
              <w:rPr>
                <w:rFonts w:eastAsia="仿宋_GB2312" w:cs="Times New Roman"/>
                <w:kern w:val="0"/>
                <w:sz w:val="20"/>
                <w:szCs w:val="20"/>
              </w:rPr>
              <w:t>天然气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生物质燃料棒</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0.122</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g/kg生物质燃料棒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工业锅炉</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煤</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0.04</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煤气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0.00044</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g/m</w:t>
            </w:r>
            <w:r>
              <w:rPr>
                <w:rFonts w:eastAsia="仿宋_GB2312" w:cs="Times New Roman"/>
                <w:kern w:val="0"/>
                <w:sz w:val="20"/>
                <w:szCs w:val="20"/>
                <w:vertAlign w:val="superscript"/>
              </w:rPr>
              <w:t>3</w:t>
            </w:r>
            <w:r>
              <w:rPr>
                <w:rFonts w:eastAsia="仿宋_GB2312" w:cs="Times New Roman"/>
                <w:kern w:val="0"/>
                <w:sz w:val="20"/>
                <w:szCs w:val="20"/>
              </w:rPr>
              <w:t>煤气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液化石油气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0.10</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g/kg液化石油气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vAlign w:val="center"/>
          </w:tcPr>
          <w:p>
            <w:pPr>
              <w:ind w:firstLine="0" w:firstLineChars="0"/>
              <w:jc w:val="center"/>
              <w:rPr>
                <w:rFonts w:eastAsia="仿宋_GB2312" w:cs="Times New Roman"/>
                <w:kern w:val="0"/>
                <w:sz w:val="20"/>
                <w:szCs w:val="20"/>
              </w:rPr>
            </w:pP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天然气</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0.088</w:t>
            </w:r>
          </w:p>
        </w:tc>
        <w:tc>
          <w:tcPr>
            <w:tcW w:w="2074" w:type="dxa"/>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g/m</w:t>
            </w:r>
            <w:r>
              <w:rPr>
                <w:rFonts w:eastAsia="仿宋_GB2312" w:cs="Times New Roman"/>
                <w:kern w:val="0"/>
                <w:sz w:val="20"/>
                <w:szCs w:val="20"/>
                <w:vertAlign w:val="superscript"/>
              </w:rPr>
              <w:t>3</w:t>
            </w:r>
            <w:r>
              <w:rPr>
                <w:rFonts w:eastAsia="仿宋_GB2312" w:cs="Times New Roman"/>
                <w:kern w:val="0"/>
                <w:sz w:val="20"/>
                <w:szCs w:val="20"/>
              </w:rPr>
              <w:t>天然气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p>
        </w:tc>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生物质燃料棒</w:t>
            </w:r>
          </w:p>
        </w:tc>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0.122</w:t>
            </w:r>
          </w:p>
        </w:tc>
        <w:tc>
          <w:tcPr>
            <w:tcW w:w="2074" w:type="dxa"/>
            <w:tcBorders>
              <w:bottom w:val="single" w:color="auto" w:sz="4" w:space="0"/>
            </w:tcBorders>
            <w:vAlign w:val="center"/>
          </w:tcPr>
          <w:p>
            <w:pPr>
              <w:ind w:firstLine="0" w:firstLineChars="0"/>
              <w:jc w:val="center"/>
              <w:rPr>
                <w:rFonts w:eastAsia="仿宋_GB2312" w:cs="Times New Roman"/>
                <w:kern w:val="0"/>
                <w:sz w:val="20"/>
                <w:szCs w:val="20"/>
              </w:rPr>
            </w:pPr>
            <w:r>
              <w:rPr>
                <w:rFonts w:eastAsia="仿宋_GB2312" w:cs="Times New Roman"/>
                <w:kern w:val="0"/>
                <w:sz w:val="20"/>
                <w:szCs w:val="20"/>
              </w:rPr>
              <w:t>g/kg生物质燃料棒</w:t>
            </w:r>
          </w:p>
        </w:tc>
      </w:tr>
      <w:bookmarkEnd w:id="0"/>
    </w:tbl>
    <w:p>
      <w:pPr>
        <w:spacing w:line="560" w:lineRule="exact"/>
        <w:ind w:firstLine="482" w:firstLineChars="0"/>
        <w:rPr>
          <w:rFonts w:eastAsia="仿宋_GB2312" w:cs="Times New Roman"/>
          <w:sz w:val="32"/>
          <w:szCs w:val="32"/>
        </w:rPr>
      </w:pPr>
    </w:p>
    <w:p>
      <w:pPr>
        <w:spacing w:line="560" w:lineRule="exact"/>
        <w:ind w:firstLine="482" w:firstLineChars="0"/>
        <w:rPr>
          <w:rFonts w:eastAsia="仿宋_GB2312" w:cs="Times New Roman"/>
          <w:b/>
          <w:sz w:val="32"/>
          <w:szCs w:val="32"/>
        </w:rPr>
      </w:pPr>
      <w:r>
        <w:rPr>
          <w:rFonts w:eastAsia="仿宋_GB2312" w:cs="Times New Roman"/>
          <w:b/>
          <w:sz w:val="32"/>
          <w:szCs w:val="32"/>
        </w:rPr>
        <w:t>二、加油站核算方法</w:t>
      </w:r>
    </w:p>
    <w:p>
      <w:pPr>
        <w:spacing w:line="560" w:lineRule="exact"/>
        <w:ind w:firstLine="482" w:firstLineChars="0"/>
        <w:rPr>
          <w:rFonts w:eastAsia="仿宋_GB2312" w:cs="Times New Roman"/>
          <w:b/>
          <w:sz w:val="32"/>
          <w:szCs w:val="32"/>
        </w:rPr>
      </w:pPr>
      <w:r>
        <w:rPr>
          <w:rFonts w:eastAsia="仿宋_GB2312" w:cs="Times New Roman"/>
          <w:sz w:val="32"/>
          <w:szCs w:val="32"/>
        </w:rPr>
        <w:t>加油站减排核算主要根据油气回收以及末端治理前后排放量的变化核算出挥发性有机物削减。加油站VOCs排污系数可参考表8。</w:t>
      </w:r>
    </w:p>
    <w:p>
      <w:pPr>
        <w:spacing w:before="240"/>
        <w:ind w:firstLine="480" w:firstLineChars="0"/>
        <w:jc w:val="center"/>
        <w:rPr>
          <w:rFonts w:ascii="黑体" w:hAnsi="黑体" w:eastAsia="黑体" w:cs="Times New Roman"/>
          <w:bCs/>
          <w:kern w:val="0"/>
          <w:szCs w:val="28"/>
        </w:rPr>
      </w:pPr>
      <w:r>
        <w:rPr>
          <w:rFonts w:ascii="黑体" w:hAnsi="黑体" w:eastAsia="黑体" w:cs="Times New Roman"/>
          <w:bCs/>
          <w:kern w:val="0"/>
          <w:szCs w:val="28"/>
        </w:rPr>
        <w:t>表8 加油站VOCs排污系数</w:t>
      </w:r>
    </w:p>
    <w:tbl>
      <w:tblPr>
        <w:tblStyle w:val="14"/>
        <w:tblW w:w="7920" w:type="dxa"/>
        <w:tblInd w:w="-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4820"/>
        <w:gridCol w:w="20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tcBorders>
              <w:top w:val="single" w:color="auto" w:sz="4" w:space="0"/>
              <w:bottom w:val="single" w:color="auto" w:sz="4" w:space="0"/>
            </w:tcBorders>
            <w:shd w:val="clear" w:color="auto" w:fill="auto"/>
            <w:noWrap/>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类型</w:t>
            </w:r>
          </w:p>
        </w:tc>
        <w:tc>
          <w:tcPr>
            <w:tcW w:w="4820" w:type="dxa"/>
            <w:tcBorders>
              <w:top w:val="single" w:color="auto" w:sz="4" w:space="0"/>
              <w:bottom w:val="single" w:color="auto" w:sz="4" w:space="0"/>
            </w:tcBorders>
            <w:shd w:val="clear" w:color="auto" w:fill="auto"/>
            <w:noWrap/>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减排措施采取情况</w:t>
            </w:r>
          </w:p>
        </w:tc>
        <w:tc>
          <w:tcPr>
            <w:tcW w:w="2020" w:type="dxa"/>
            <w:tcBorders>
              <w:top w:val="single" w:color="auto" w:sz="4" w:space="0"/>
              <w:bottom w:val="single" w:color="auto" w:sz="4" w:space="0"/>
            </w:tcBorders>
            <w:shd w:val="clear" w:color="auto" w:fill="auto"/>
            <w:noWrap/>
            <w:vAlign w:val="center"/>
          </w:tcPr>
          <w:p>
            <w:pPr>
              <w:ind w:firstLine="0" w:firstLineChars="0"/>
              <w:jc w:val="center"/>
              <w:rPr>
                <w:rFonts w:ascii="黑体" w:hAnsi="黑体" w:eastAsia="黑体" w:cs="Times New Roman"/>
                <w:kern w:val="0"/>
                <w:sz w:val="21"/>
                <w:szCs w:val="20"/>
              </w:rPr>
            </w:pPr>
            <w:r>
              <w:rPr>
                <w:rFonts w:ascii="黑体" w:hAnsi="黑体" w:eastAsia="黑体" w:cs="Times New Roman"/>
                <w:kern w:val="0"/>
                <w:sz w:val="21"/>
                <w:szCs w:val="20"/>
              </w:rPr>
              <w:t>排污系数（kg/t）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vMerge w:val="restart"/>
            <w:tcBorders>
              <w:top w:val="single" w:color="auto" w:sz="4" w:space="0"/>
            </w:tcBorders>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汽油</w:t>
            </w:r>
          </w:p>
        </w:tc>
        <w:tc>
          <w:tcPr>
            <w:tcW w:w="4820" w:type="dxa"/>
            <w:tcBorders>
              <w:top w:val="single" w:color="auto" w:sz="4" w:space="0"/>
              <w:bottom w:val="nil"/>
            </w:tcBorders>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未实施油气回收</w:t>
            </w:r>
          </w:p>
        </w:tc>
        <w:tc>
          <w:tcPr>
            <w:tcW w:w="2020" w:type="dxa"/>
            <w:tcBorders>
              <w:top w:val="single" w:color="auto" w:sz="4" w:space="0"/>
              <w:bottom w:val="nil"/>
            </w:tcBorders>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3.045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1080" w:type="dxa"/>
            <w:vMerge w:val="continue"/>
            <w:tcBorders>
              <w:top w:val="single" w:color="auto" w:sz="4" w:space="0"/>
            </w:tcBorders>
            <w:shd w:val="clear" w:color="auto" w:fill="auto"/>
            <w:noWrap/>
            <w:vAlign w:val="center"/>
          </w:tcPr>
          <w:p>
            <w:pPr>
              <w:widowControl/>
              <w:ind w:firstLine="0" w:firstLineChars="0"/>
              <w:jc w:val="center"/>
              <w:rPr>
                <w:rFonts w:eastAsia="仿宋_GB2312" w:cs="Times New Roman"/>
                <w:kern w:val="0"/>
                <w:sz w:val="20"/>
              </w:rPr>
            </w:pPr>
          </w:p>
        </w:tc>
        <w:tc>
          <w:tcPr>
            <w:tcW w:w="4820" w:type="dxa"/>
            <w:tcBorders>
              <w:top w:val="nil"/>
            </w:tcBorders>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实施油气回收一次处理系统</w:t>
            </w:r>
          </w:p>
        </w:tc>
        <w:tc>
          <w:tcPr>
            <w:tcW w:w="2020" w:type="dxa"/>
            <w:tcBorders>
              <w:top w:val="nil"/>
            </w:tcBorders>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1.433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vMerge w:val="continue"/>
            <w:vAlign w:val="center"/>
          </w:tcPr>
          <w:p>
            <w:pPr>
              <w:widowControl/>
              <w:ind w:firstLine="0" w:firstLineChars="0"/>
              <w:jc w:val="center"/>
              <w:rPr>
                <w:rFonts w:eastAsia="仿宋_GB2312" w:cs="Times New Roman"/>
                <w:kern w:val="0"/>
                <w:sz w:val="20"/>
              </w:rPr>
            </w:pPr>
          </w:p>
        </w:tc>
        <w:tc>
          <w:tcPr>
            <w:tcW w:w="48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实施油气回收一、二次处理系统</w:t>
            </w:r>
          </w:p>
        </w:tc>
        <w:tc>
          <w:tcPr>
            <w:tcW w:w="20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0.539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vMerge w:val="continue"/>
            <w:vAlign w:val="center"/>
          </w:tcPr>
          <w:p>
            <w:pPr>
              <w:widowControl/>
              <w:ind w:firstLine="0" w:firstLineChars="0"/>
              <w:jc w:val="center"/>
              <w:rPr>
                <w:rFonts w:eastAsia="仿宋_GB2312" w:cs="Times New Roman"/>
                <w:kern w:val="0"/>
                <w:sz w:val="20"/>
              </w:rPr>
            </w:pPr>
          </w:p>
        </w:tc>
        <w:tc>
          <w:tcPr>
            <w:tcW w:w="48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实施油气回收一、二次、末端处理装置</w:t>
            </w:r>
            <w:bookmarkStart w:id="1" w:name="_GoBack"/>
            <w:bookmarkEnd w:id="1"/>
            <w:r>
              <w:rPr>
                <w:rFonts w:eastAsia="仿宋_GB2312" w:cs="Times New Roman"/>
                <w:kern w:val="0"/>
                <w:sz w:val="20"/>
              </w:rPr>
              <w:t>系统</w:t>
            </w:r>
          </w:p>
        </w:tc>
        <w:tc>
          <w:tcPr>
            <w:tcW w:w="20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0.359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vAlign w:val="center"/>
          </w:tcPr>
          <w:p>
            <w:pPr>
              <w:widowControl/>
              <w:ind w:firstLine="0" w:firstLineChars="0"/>
              <w:jc w:val="center"/>
              <w:rPr>
                <w:rFonts w:eastAsia="仿宋_GB2312" w:cs="Times New Roman"/>
                <w:kern w:val="0"/>
                <w:sz w:val="20"/>
              </w:rPr>
            </w:pPr>
          </w:p>
        </w:tc>
        <w:tc>
          <w:tcPr>
            <w:tcW w:w="4820" w:type="dxa"/>
            <w:shd w:val="clear" w:color="auto" w:fill="auto"/>
            <w:noWrap/>
            <w:vAlign w:val="center"/>
          </w:tcPr>
          <w:p>
            <w:pPr>
              <w:widowControl/>
              <w:ind w:firstLine="0" w:firstLineChars="0"/>
              <w:jc w:val="center"/>
              <w:rPr>
                <w:rFonts w:eastAsia="仿宋_GB2312" w:cs="Times New Roman"/>
                <w:kern w:val="0"/>
                <w:sz w:val="20"/>
              </w:rPr>
            </w:pPr>
          </w:p>
        </w:tc>
        <w:tc>
          <w:tcPr>
            <w:tcW w:w="2020" w:type="dxa"/>
            <w:shd w:val="clear" w:color="auto" w:fill="auto"/>
            <w:noWrap/>
            <w:vAlign w:val="center"/>
          </w:tcPr>
          <w:p>
            <w:pPr>
              <w:widowControl/>
              <w:ind w:firstLine="0" w:firstLineChars="0"/>
              <w:jc w:val="center"/>
              <w:rPr>
                <w:rFonts w:eastAsia="仿宋_GB2312" w:cs="Times New Roman"/>
                <w:kern w:val="0"/>
                <w:sz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vMerge w:val="restart"/>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柴油</w:t>
            </w:r>
          </w:p>
        </w:tc>
        <w:tc>
          <w:tcPr>
            <w:tcW w:w="48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卸油、加油均未实施油气回收</w:t>
            </w:r>
          </w:p>
        </w:tc>
        <w:tc>
          <w:tcPr>
            <w:tcW w:w="20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0.075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vMerge w:val="continue"/>
            <w:shd w:val="clear" w:color="auto" w:fill="auto"/>
            <w:noWrap/>
            <w:vAlign w:val="center"/>
          </w:tcPr>
          <w:p>
            <w:pPr>
              <w:widowControl/>
              <w:ind w:firstLine="0" w:firstLineChars="0"/>
              <w:jc w:val="center"/>
              <w:rPr>
                <w:rFonts w:eastAsia="仿宋_GB2312" w:cs="Times New Roman"/>
                <w:kern w:val="0"/>
                <w:sz w:val="20"/>
              </w:rPr>
            </w:pPr>
          </w:p>
        </w:tc>
        <w:tc>
          <w:tcPr>
            <w:tcW w:w="48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卸油、加油只实施了其中一项油气回收</w:t>
            </w:r>
          </w:p>
        </w:tc>
        <w:tc>
          <w:tcPr>
            <w:tcW w:w="20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vMerge w:val="continue"/>
            <w:vAlign w:val="center"/>
          </w:tcPr>
          <w:p>
            <w:pPr>
              <w:widowControl/>
              <w:ind w:firstLine="0" w:firstLineChars="0"/>
              <w:jc w:val="center"/>
              <w:rPr>
                <w:rFonts w:eastAsia="仿宋_GB2312" w:cs="Times New Roman"/>
                <w:kern w:val="0"/>
                <w:sz w:val="20"/>
              </w:rPr>
            </w:pPr>
          </w:p>
        </w:tc>
        <w:tc>
          <w:tcPr>
            <w:tcW w:w="48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卸油、加油均实施了油气回收</w:t>
            </w:r>
          </w:p>
        </w:tc>
        <w:tc>
          <w:tcPr>
            <w:tcW w:w="2020" w:type="dxa"/>
            <w:shd w:val="clear" w:color="auto" w:fill="auto"/>
            <w:noWrap/>
            <w:vAlign w:val="center"/>
          </w:tcPr>
          <w:p>
            <w:pPr>
              <w:widowControl/>
              <w:ind w:firstLine="0" w:firstLineChars="0"/>
              <w:jc w:val="center"/>
              <w:rPr>
                <w:rFonts w:eastAsia="仿宋_GB2312" w:cs="Times New Roman"/>
                <w:kern w:val="0"/>
                <w:sz w:val="20"/>
              </w:rPr>
            </w:pPr>
            <w:r>
              <w:rPr>
                <w:rFonts w:eastAsia="仿宋_GB2312" w:cs="Times New Roman"/>
                <w:kern w:val="0"/>
                <w:sz w:val="20"/>
              </w:rPr>
              <w:t>0.049</w:t>
            </w:r>
          </w:p>
        </w:tc>
      </w:tr>
    </w:tbl>
    <w:p>
      <w:pPr>
        <w:ind w:firstLine="48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華康粗圓體">
    <w:altName w:val="Microsoft JhengHei"/>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6" w:usb3="00000000" w:csb0="001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EB"/>
    <w:rsid w:val="00001813"/>
    <w:rsid w:val="00025FD3"/>
    <w:rsid w:val="00062A4C"/>
    <w:rsid w:val="000857A7"/>
    <w:rsid w:val="00094E4D"/>
    <w:rsid w:val="000E0D9E"/>
    <w:rsid w:val="00110F00"/>
    <w:rsid w:val="00115050"/>
    <w:rsid w:val="001C26B2"/>
    <w:rsid w:val="002030DC"/>
    <w:rsid w:val="002047E8"/>
    <w:rsid w:val="00231FE9"/>
    <w:rsid w:val="00286C74"/>
    <w:rsid w:val="00293F40"/>
    <w:rsid w:val="002D4D0A"/>
    <w:rsid w:val="00311923"/>
    <w:rsid w:val="003A2418"/>
    <w:rsid w:val="00406BCC"/>
    <w:rsid w:val="004B3B49"/>
    <w:rsid w:val="004E4607"/>
    <w:rsid w:val="004F74EB"/>
    <w:rsid w:val="005078FC"/>
    <w:rsid w:val="0052788E"/>
    <w:rsid w:val="005B3A00"/>
    <w:rsid w:val="005B3CA8"/>
    <w:rsid w:val="00614E20"/>
    <w:rsid w:val="006462EE"/>
    <w:rsid w:val="00650822"/>
    <w:rsid w:val="00693AC4"/>
    <w:rsid w:val="006B2212"/>
    <w:rsid w:val="006B52BF"/>
    <w:rsid w:val="00711D95"/>
    <w:rsid w:val="00741CE6"/>
    <w:rsid w:val="0077441D"/>
    <w:rsid w:val="00784513"/>
    <w:rsid w:val="007F60EB"/>
    <w:rsid w:val="0080462B"/>
    <w:rsid w:val="00813A30"/>
    <w:rsid w:val="00831B37"/>
    <w:rsid w:val="008415A2"/>
    <w:rsid w:val="00841D53"/>
    <w:rsid w:val="008429D9"/>
    <w:rsid w:val="00896EF1"/>
    <w:rsid w:val="008E5C64"/>
    <w:rsid w:val="00917BCC"/>
    <w:rsid w:val="00927C29"/>
    <w:rsid w:val="00931D77"/>
    <w:rsid w:val="009E2465"/>
    <w:rsid w:val="00A202CF"/>
    <w:rsid w:val="00A805DE"/>
    <w:rsid w:val="00AE1D60"/>
    <w:rsid w:val="00B31D05"/>
    <w:rsid w:val="00B32CD5"/>
    <w:rsid w:val="00B43AFD"/>
    <w:rsid w:val="00B863A3"/>
    <w:rsid w:val="00B905D1"/>
    <w:rsid w:val="00BF78F3"/>
    <w:rsid w:val="00C31312"/>
    <w:rsid w:val="00CA1AA8"/>
    <w:rsid w:val="00CC70C1"/>
    <w:rsid w:val="00CF61CA"/>
    <w:rsid w:val="00D10A32"/>
    <w:rsid w:val="00D74F27"/>
    <w:rsid w:val="00DA43D2"/>
    <w:rsid w:val="00DF02E5"/>
    <w:rsid w:val="00E11908"/>
    <w:rsid w:val="00E52DB5"/>
    <w:rsid w:val="00E92001"/>
    <w:rsid w:val="00EA23CB"/>
    <w:rsid w:val="00EC4482"/>
    <w:rsid w:val="00F15769"/>
    <w:rsid w:val="00F208DB"/>
    <w:rsid w:val="00F41977"/>
    <w:rsid w:val="00F74A25"/>
    <w:rsid w:val="00FA5834"/>
    <w:rsid w:val="00FC1154"/>
    <w:rsid w:val="00FE0F5D"/>
    <w:rsid w:val="00FE7D40"/>
    <w:rsid w:val="0EE03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rFonts w:asciiTheme="minorHAnsi" w:hAnsiTheme="minorHAnsi" w:eastAsiaTheme="minorEastAsia"/>
      <w:b/>
      <w:bCs/>
      <w:kern w:val="44"/>
      <w:sz w:val="44"/>
      <w:szCs w:val="44"/>
    </w:rPr>
  </w:style>
  <w:style w:type="paragraph" w:styleId="3">
    <w:name w:val="heading 2"/>
    <w:basedOn w:val="1"/>
    <w:next w:val="1"/>
    <w:link w:val="21"/>
    <w:qFormat/>
    <w:uiPriority w:val="9"/>
    <w:pPr>
      <w:topLinePunct/>
      <w:adjustRightInd w:val="0"/>
      <w:snapToGrid w:val="0"/>
      <w:spacing w:line="372" w:lineRule="auto"/>
      <w:ind w:left="-19" w:leftChars="-9" w:firstLine="17" w:firstLineChars="6"/>
      <w:outlineLvl w:val="1"/>
    </w:pPr>
    <w:rPr>
      <w:rFonts w:cs="Times New Roman"/>
      <w:b/>
      <w:kern w:val="0"/>
      <w:sz w:val="28"/>
      <w:szCs w:val="28"/>
    </w:rPr>
  </w:style>
  <w:style w:type="paragraph" w:styleId="4">
    <w:name w:val="heading 3"/>
    <w:basedOn w:val="1"/>
    <w:next w:val="1"/>
    <w:link w:val="22"/>
    <w:unhideWhenUsed/>
    <w:qFormat/>
    <w:uiPriority w:val="9"/>
    <w:pPr>
      <w:keepNext/>
      <w:keepLines/>
      <w:spacing w:line="360" w:lineRule="auto"/>
      <w:ind w:firstLine="0" w:firstLineChars="0"/>
      <w:outlineLvl w:val="2"/>
    </w:pPr>
    <w:rPr>
      <w:rFonts w:eastAsia="黑体" w:cs="Times New Roman"/>
      <w:kern w:val="0"/>
      <w:sz w:val="28"/>
      <w:szCs w:val="28"/>
    </w:rPr>
  </w:style>
  <w:style w:type="paragraph" w:styleId="5">
    <w:name w:val="heading 4"/>
    <w:basedOn w:val="1"/>
    <w:next w:val="1"/>
    <w:link w:val="23"/>
    <w:unhideWhenUsed/>
    <w:qFormat/>
    <w:uiPriority w:val="9"/>
    <w:pPr>
      <w:keepNext/>
      <w:keepLines/>
      <w:topLinePunct/>
      <w:adjustRightInd w:val="0"/>
      <w:snapToGrid w:val="0"/>
      <w:spacing w:before="280" w:after="290" w:line="372" w:lineRule="auto"/>
      <w:ind w:left="-19" w:leftChars="-9" w:firstLine="14" w:firstLineChars="6"/>
      <w:outlineLvl w:val="3"/>
    </w:pPr>
    <w:rPr>
      <w:rFonts w:cs="Times New Roman" w:eastAsiaTheme="majorEastAsia"/>
      <w:b/>
      <w:bCs/>
      <w:kern w:val="0"/>
      <w:szCs w:val="28"/>
    </w:rPr>
  </w:style>
  <w:style w:type="paragraph" w:styleId="6">
    <w:name w:val="heading 5"/>
    <w:basedOn w:val="1"/>
    <w:next w:val="1"/>
    <w:link w:val="24"/>
    <w:unhideWhenUsed/>
    <w:qFormat/>
    <w:uiPriority w:val="9"/>
    <w:pPr>
      <w:keepNext/>
      <w:keepLines/>
      <w:topLinePunct/>
      <w:adjustRightInd w:val="0"/>
      <w:snapToGrid w:val="0"/>
      <w:spacing w:before="280" w:after="290" w:line="372" w:lineRule="auto"/>
      <w:ind w:left="-19" w:leftChars="-9" w:firstLine="18" w:firstLineChars="6"/>
      <w:outlineLvl w:val="4"/>
    </w:pPr>
    <w:rPr>
      <w:rFonts w:cs="Times New Roman" w:eastAsiaTheme="majorEastAsia"/>
      <w:b/>
      <w:bCs/>
      <w:kern w:val="0"/>
      <w:sz w:val="28"/>
      <w:szCs w:val="28"/>
    </w:rPr>
  </w:style>
  <w:style w:type="paragraph" w:styleId="7">
    <w:name w:val="heading 6"/>
    <w:basedOn w:val="1"/>
    <w:next w:val="1"/>
    <w:link w:val="25"/>
    <w:semiHidden/>
    <w:unhideWhenUsed/>
    <w:qFormat/>
    <w:uiPriority w:val="9"/>
    <w:pPr>
      <w:keepNext/>
      <w:keepLines/>
      <w:spacing w:before="240" w:after="64" w:line="320" w:lineRule="auto"/>
      <w:ind w:firstLine="0" w:firstLineChars="0"/>
      <w:outlineLvl w:val="5"/>
    </w:pPr>
    <w:rPr>
      <w:rFonts w:asciiTheme="majorHAnsi" w:hAnsiTheme="majorHAnsi" w:eastAsiaTheme="majorEastAsia" w:cstheme="majorBidi"/>
      <w:b/>
      <w:bCs/>
      <w:szCs w:val="24"/>
    </w:rPr>
  </w:style>
  <w:style w:type="character" w:default="1" w:styleId="16">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8">
    <w:name w:val="annotation text"/>
    <w:basedOn w:val="1"/>
    <w:link w:val="53"/>
    <w:semiHidden/>
    <w:unhideWhenUsed/>
    <w:uiPriority w:val="99"/>
    <w:pPr>
      <w:jc w:val="left"/>
    </w:pPr>
  </w:style>
  <w:style w:type="paragraph" w:styleId="9">
    <w:name w:val="Balloon Text"/>
    <w:basedOn w:val="1"/>
    <w:link w:val="55"/>
    <w:semiHidden/>
    <w:unhideWhenUsed/>
    <w:uiPriority w:val="99"/>
    <w:rPr>
      <w:sz w:val="18"/>
      <w:szCs w:val="18"/>
    </w:rPr>
  </w:style>
  <w:style w:type="paragraph" w:styleId="10">
    <w:name w:val="footer"/>
    <w:basedOn w:val="1"/>
    <w:link w:val="56"/>
    <w:unhideWhenUsed/>
    <w:uiPriority w:val="99"/>
    <w:pPr>
      <w:tabs>
        <w:tab w:val="center" w:pos="4153"/>
        <w:tab w:val="right" w:pos="8306"/>
      </w:tabs>
      <w:snapToGrid w:val="0"/>
      <w:jc w:val="left"/>
    </w:pPr>
    <w:rPr>
      <w:sz w:val="18"/>
      <w:szCs w:val="18"/>
    </w:rPr>
  </w:style>
  <w:style w:type="paragraph" w:styleId="11">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58"/>
    <w:semiHidden/>
    <w:unhideWhenUsed/>
    <w:qFormat/>
    <w:uiPriority w:val="99"/>
    <w:pPr>
      <w:snapToGrid w:val="0"/>
      <w:jc w:val="left"/>
    </w:pPr>
    <w:rPr>
      <w:sz w:val="18"/>
      <w:szCs w:val="18"/>
    </w:rPr>
  </w:style>
  <w:style w:type="paragraph" w:styleId="13">
    <w:name w:val="annotation subject"/>
    <w:basedOn w:val="8"/>
    <w:next w:val="8"/>
    <w:link w:val="34"/>
    <w:semiHidden/>
    <w:unhideWhenUsed/>
    <w:qFormat/>
    <w:uiPriority w:val="99"/>
    <w:rPr>
      <w:rFonts w:asciiTheme="minorHAnsi" w:hAnsiTheme="minorHAnsi" w:eastAsiaTheme="minorEastAsia"/>
      <w:b/>
      <w:bCs/>
      <w:sz w:val="21"/>
    </w:rPr>
  </w:style>
  <w:style w:type="table" w:styleId="15">
    <w:name w:val="Table Grid"/>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FollowedHyperlink"/>
    <w:basedOn w:val="16"/>
    <w:semiHidden/>
    <w:unhideWhenUsed/>
    <w:uiPriority w:val="99"/>
    <w:rPr>
      <w:color w:val="954F72" w:themeColor="followedHyperlink"/>
      <w:u w:val="single"/>
      <w14:textFill>
        <w14:solidFill>
          <w14:schemeClr w14:val="folHlink"/>
        </w14:solidFill>
      </w14:textFill>
    </w:rPr>
  </w:style>
  <w:style w:type="character" w:styleId="18">
    <w:name w:val="Hyperlink"/>
    <w:basedOn w:val="16"/>
    <w:semiHidden/>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0"/>
    <w:rPr>
      <w:sz w:val="21"/>
      <w:szCs w:val="21"/>
    </w:rPr>
  </w:style>
  <w:style w:type="character" w:styleId="20">
    <w:name w:val="footnote reference"/>
    <w:basedOn w:val="16"/>
    <w:semiHidden/>
    <w:unhideWhenUsed/>
    <w:qFormat/>
    <w:uiPriority w:val="99"/>
    <w:rPr>
      <w:vertAlign w:val="superscript"/>
    </w:rPr>
  </w:style>
  <w:style w:type="character" w:customStyle="1" w:styleId="21">
    <w:name w:val="标题 2 字符"/>
    <w:basedOn w:val="16"/>
    <w:link w:val="3"/>
    <w:qFormat/>
    <w:uiPriority w:val="9"/>
    <w:rPr>
      <w:rFonts w:ascii="Times New Roman" w:hAnsi="Times New Roman" w:eastAsia="宋体" w:cs="Times New Roman"/>
      <w:b/>
      <w:kern w:val="0"/>
      <w:sz w:val="28"/>
      <w:szCs w:val="28"/>
    </w:rPr>
  </w:style>
  <w:style w:type="character" w:customStyle="1" w:styleId="22">
    <w:name w:val="标题 3 字符"/>
    <w:basedOn w:val="16"/>
    <w:link w:val="4"/>
    <w:qFormat/>
    <w:uiPriority w:val="9"/>
    <w:rPr>
      <w:rFonts w:ascii="Times New Roman" w:hAnsi="Times New Roman" w:eastAsia="黑体" w:cs="Times New Roman"/>
      <w:kern w:val="0"/>
      <w:sz w:val="28"/>
      <w:szCs w:val="28"/>
    </w:rPr>
  </w:style>
  <w:style w:type="character" w:customStyle="1" w:styleId="23">
    <w:name w:val="标题 4 字符"/>
    <w:basedOn w:val="16"/>
    <w:link w:val="5"/>
    <w:uiPriority w:val="9"/>
    <w:rPr>
      <w:rFonts w:ascii="Times New Roman" w:hAnsi="Times New Roman" w:cs="Times New Roman" w:eastAsiaTheme="majorEastAsia"/>
      <w:b/>
      <w:bCs/>
      <w:kern w:val="0"/>
      <w:sz w:val="24"/>
      <w:szCs w:val="28"/>
    </w:rPr>
  </w:style>
  <w:style w:type="character" w:customStyle="1" w:styleId="24">
    <w:name w:val="标题 5 字符"/>
    <w:basedOn w:val="16"/>
    <w:link w:val="6"/>
    <w:uiPriority w:val="9"/>
    <w:rPr>
      <w:rFonts w:ascii="Times New Roman" w:hAnsi="Times New Roman" w:cs="Times New Roman" w:eastAsiaTheme="majorEastAsia"/>
      <w:b/>
      <w:bCs/>
      <w:kern w:val="0"/>
      <w:sz w:val="28"/>
      <w:szCs w:val="28"/>
    </w:rPr>
  </w:style>
  <w:style w:type="character" w:customStyle="1" w:styleId="25">
    <w:name w:val="标题 6 字符"/>
    <w:basedOn w:val="16"/>
    <w:link w:val="7"/>
    <w:semiHidden/>
    <w:qFormat/>
    <w:uiPriority w:val="9"/>
    <w:rPr>
      <w:rFonts w:asciiTheme="majorHAnsi" w:hAnsiTheme="majorHAnsi" w:eastAsiaTheme="majorEastAsia" w:cstheme="majorBidi"/>
      <w:b/>
      <w:bCs/>
      <w:sz w:val="24"/>
      <w:szCs w:val="24"/>
    </w:rPr>
  </w:style>
  <w:style w:type="paragraph" w:customStyle="1" w:styleId="26">
    <w:name w:val="2 表格标题"/>
    <w:basedOn w:val="1"/>
    <w:link w:val="27"/>
    <w:qFormat/>
    <w:uiPriority w:val="0"/>
    <w:pPr>
      <w:spacing w:line="480" w:lineRule="auto"/>
      <w:ind w:firstLine="0" w:firstLineChars="0"/>
      <w:jc w:val="center"/>
    </w:pPr>
    <w:rPr>
      <w:rFonts w:eastAsia="黑体" w:cs="Times New Roman"/>
      <w:bCs/>
      <w:color w:val="000000" w:themeColor="text1"/>
      <w:sz w:val="21"/>
      <w14:textFill>
        <w14:solidFill>
          <w14:schemeClr w14:val="tx1"/>
        </w14:solidFill>
      </w14:textFill>
    </w:rPr>
  </w:style>
  <w:style w:type="character" w:customStyle="1" w:styleId="27">
    <w:name w:val="2 表格标题 字符"/>
    <w:basedOn w:val="16"/>
    <w:link w:val="26"/>
    <w:uiPriority w:val="0"/>
    <w:rPr>
      <w:rFonts w:ascii="Times New Roman" w:hAnsi="Times New Roman" w:eastAsia="黑体" w:cs="Times New Roman"/>
      <w:bCs/>
      <w:color w:val="000000" w:themeColor="text1"/>
      <w14:textFill>
        <w14:solidFill>
          <w14:schemeClr w14:val="tx1"/>
        </w14:solidFill>
      </w14:textFill>
    </w:rPr>
  </w:style>
  <w:style w:type="paragraph" w:styleId="28">
    <w:name w:val="List Paragraph"/>
    <w:basedOn w:val="1"/>
    <w:qFormat/>
    <w:uiPriority w:val="34"/>
    <w:pPr>
      <w:ind w:firstLine="420"/>
    </w:pPr>
  </w:style>
  <w:style w:type="paragraph" w:customStyle="1" w:styleId="29">
    <w:name w:val="标题 11"/>
    <w:basedOn w:val="1"/>
    <w:next w:val="1"/>
    <w:qFormat/>
    <w:uiPriority w:val="9"/>
    <w:pPr>
      <w:keepNext/>
      <w:keepLines/>
      <w:spacing w:before="340" w:after="330" w:line="578" w:lineRule="auto"/>
      <w:ind w:firstLine="0" w:firstLineChars="0"/>
      <w:outlineLvl w:val="0"/>
    </w:pPr>
    <w:rPr>
      <w:rFonts w:ascii="Calibri" w:hAnsi="Calibri"/>
      <w:b/>
      <w:bCs/>
      <w:kern w:val="44"/>
      <w:sz w:val="44"/>
      <w:szCs w:val="44"/>
    </w:rPr>
  </w:style>
  <w:style w:type="character" w:customStyle="1" w:styleId="30">
    <w:name w:val="标题 1 字符"/>
    <w:basedOn w:val="16"/>
    <w:link w:val="2"/>
    <w:qFormat/>
    <w:uiPriority w:val="9"/>
    <w:rPr>
      <w:b/>
      <w:bCs/>
      <w:kern w:val="44"/>
      <w:sz w:val="44"/>
      <w:szCs w:val="44"/>
    </w:rPr>
  </w:style>
  <w:style w:type="paragraph" w:customStyle="1" w:styleId="31">
    <w:name w:val="批注文字1"/>
    <w:basedOn w:val="1"/>
    <w:next w:val="8"/>
    <w:link w:val="32"/>
    <w:semiHidden/>
    <w:unhideWhenUsed/>
    <w:qFormat/>
    <w:uiPriority w:val="0"/>
    <w:pPr>
      <w:ind w:firstLine="0" w:firstLineChars="0"/>
      <w:jc w:val="left"/>
    </w:pPr>
    <w:rPr>
      <w:rFonts w:asciiTheme="minorHAnsi" w:hAnsiTheme="minorHAnsi" w:eastAsiaTheme="minorEastAsia"/>
      <w:sz w:val="21"/>
    </w:rPr>
  </w:style>
  <w:style w:type="character" w:customStyle="1" w:styleId="32">
    <w:name w:val="批注文字 字符"/>
    <w:basedOn w:val="16"/>
    <w:link w:val="31"/>
    <w:semiHidden/>
    <w:qFormat/>
    <w:uiPriority w:val="0"/>
    <w:rPr>
      <w:kern w:val="2"/>
      <w:sz w:val="21"/>
      <w:szCs w:val="22"/>
    </w:rPr>
  </w:style>
  <w:style w:type="paragraph" w:customStyle="1" w:styleId="33">
    <w:name w:val="批注主题1"/>
    <w:basedOn w:val="8"/>
    <w:next w:val="8"/>
    <w:semiHidden/>
    <w:unhideWhenUsed/>
    <w:uiPriority w:val="99"/>
    <w:pPr>
      <w:ind w:firstLine="0" w:firstLineChars="0"/>
    </w:pPr>
    <w:rPr>
      <w:rFonts w:ascii="Calibri" w:hAnsi="Calibri"/>
      <w:b/>
      <w:bCs/>
      <w:sz w:val="21"/>
    </w:rPr>
  </w:style>
  <w:style w:type="character" w:customStyle="1" w:styleId="34">
    <w:name w:val="批注主题 字符"/>
    <w:basedOn w:val="32"/>
    <w:link w:val="13"/>
    <w:semiHidden/>
    <w:qFormat/>
    <w:uiPriority w:val="99"/>
    <w:rPr>
      <w:b/>
      <w:bCs/>
      <w:kern w:val="2"/>
      <w:sz w:val="21"/>
      <w:szCs w:val="22"/>
    </w:rPr>
  </w:style>
  <w:style w:type="paragraph" w:customStyle="1" w:styleId="35">
    <w:name w:val="目录 31"/>
    <w:basedOn w:val="1"/>
    <w:next w:val="1"/>
    <w:unhideWhenUsed/>
    <w:uiPriority w:val="39"/>
    <w:pPr>
      <w:widowControl/>
      <w:spacing w:after="100" w:line="259" w:lineRule="auto"/>
      <w:ind w:left="440" w:firstLine="0" w:firstLineChars="0"/>
      <w:jc w:val="left"/>
    </w:pPr>
    <w:rPr>
      <w:rFonts w:ascii="Calibri" w:hAnsi="Calibri" w:cs="Times New Roman"/>
      <w:kern w:val="0"/>
      <w:sz w:val="22"/>
    </w:rPr>
  </w:style>
  <w:style w:type="paragraph" w:customStyle="1" w:styleId="36">
    <w:name w:val="批注框文本1"/>
    <w:basedOn w:val="1"/>
    <w:next w:val="9"/>
    <w:link w:val="37"/>
    <w:semiHidden/>
    <w:unhideWhenUsed/>
    <w:uiPriority w:val="99"/>
    <w:pPr>
      <w:ind w:firstLine="0" w:firstLineChars="0"/>
    </w:pPr>
    <w:rPr>
      <w:rFonts w:asciiTheme="minorHAnsi" w:hAnsiTheme="minorHAnsi" w:eastAsiaTheme="minorEastAsia"/>
      <w:sz w:val="18"/>
      <w:szCs w:val="18"/>
    </w:rPr>
  </w:style>
  <w:style w:type="character" w:customStyle="1" w:styleId="37">
    <w:name w:val="批注框文本 字符"/>
    <w:basedOn w:val="16"/>
    <w:link w:val="36"/>
    <w:semiHidden/>
    <w:qFormat/>
    <w:uiPriority w:val="99"/>
    <w:rPr>
      <w:kern w:val="2"/>
      <w:sz w:val="18"/>
      <w:szCs w:val="18"/>
    </w:rPr>
  </w:style>
  <w:style w:type="paragraph" w:customStyle="1" w:styleId="38">
    <w:name w:val="页脚1"/>
    <w:basedOn w:val="1"/>
    <w:next w:val="10"/>
    <w:link w:val="39"/>
    <w:unhideWhenUsed/>
    <w:qFormat/>
    <w:uiPriority w:val="99"/>
    <w:pPr>
      <w:tabs>
        <w:tab w:val="center" w:pos="4153"/>
        <w:tab w:val="right" w:pos="8306"/>
      </w:tabs>
      <w:snapToGrid w:val="0"/>
      <w:ind w:firstLine="0" w:firstLineChars="0"/>
      <w:jc w:val="left"/>
    </w:pPr>
    <w:rPr>
      <w:rFonts w:asciiTheme="minorHAnsi" w:hAnsiTheme="minorHAnsi" w:eastAsiaTheme="minorEastAsia"/>
      <w:sz w:val="18"/>
      <w:szCs w:val="18"/>
    </w:rPr>
  </w:style>
  <w:style w:type="character" w:customStyle="1" w:styleId="39">
    <w:name w:val="页脚 字符"/>
    <w:basedOn w:val="16"/>
    <w:link w:val="38"/>
    <w:qFormat/>
    <w:uiPriority w:val="99"/>
    <w:rPr>
      <w:kern w:val="2"/>
      <w:sz w:val="18"/>
      <w:szCs w:val="18"/>
    </w:rPr>
  </w:style>
  <w:style w:type="paragraph" w:customStyle="1" w:styleId="40">
    <w:name w:val="页眉1"/>
    <w:basedOn w:val="1"/>
    <w:next w:val="11"/>
    <w:link w:val="41"/>
    <w:unhideWhenUsed/>
    <w:qFormat/>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sz w:val="18"/>
      <w:szCs w:val="18"/>
    </w:rPr>
  </w:style>
  <w:style w:type="character" w:customStyle="1" w:styleId="41">
    <w:name w:val="页眉 字符"/>
    <w:basedOn w:val="16"/>
    <w:link w:val="40"/>
    <w:qFormat/>
    <w:uiPriority w:val="99"/>
    <w:rPr>
      <w:kern w:val="2"/>
      <w:sz w:val="18"/>
      <w:szCs w:val="18"/>
    </w:rPr>
  </w:style>
  <w:style w:type="paragraph" w:customStyle="1" w:styleId="42">
    <w:name w:val="目录 11"/>
    <w:basedOn w:val="1"/>
    <w:next w:val="1"/>
    <w:unhideWhenUsed/>
    <w:qFormat/>
    <w:uiPriority w:val="39"/>
    <w:pPr>
      <w:widowControl/>
      <w:tabs>
        <w:tab w:val="right" w:leader="dot" w:pos="8296"/>
      </w:tabs>
      <w:spacing w:line="259" w:lineRule="auto"/>
      <w:ind w:firstLine="0" w:firstLineChars="0"/>
      <w:jc w:val="left"/>
    </w:pPr>
    <w:rPr>
      <w:rFonts w:ascii="Calibri" w:hAnsi="Calibri" w:cs="Times New Roman"/>
      <w:kern w:val="0"/>
      <w:sz w:val="22"/>
    </w:rPr>
  </w:style>
  <w:style w:type="paragraph" w:customStyle="1" w:styleId="43">
    <w:name w:val="脚注文本1"/>
    <w:basedOn w:val="1"/>
    <w:next w:val="12"/>
    <w:link w:val="44"/>
    <w:semiHidden/>
    <w:unhideWhenUsed/>
    <w:qFormat/>
    <w:uiPriority w:val="99"/>
    <w:pPr>
      <w:snapToGrid w:val="0"/>
      <w:ind w:firstLine="0" w:firstLineChars="0"/>
      <w:jc w:val="left"/>
    </w:pPr>
    <w:rPr>
      <w:rFonts w:asciiTheme="minorHAnsi" w:hAnsiTheme="minorHAnsi" w:eastAsiaTheme="minorEastAsia"/>
      <w:sz w:val="18"/>
      <w:szCs w:val="18"/>
    </w:rPr>
  </w:style>
  <w:style w:type="character" w:customStyle="1" w:styleId="44">
    <w:name w:val="脚注文本 字符"/>
    <w:basedOn w:val="16"/>
    <w:link w:val="43"/>
    <w:semiHidden/>
    <w:qFormat/>
    <w:uiPriority w:val="99"/>
    <w:rPr>
      <w:kern w:val="2"/>
      <w:sz w:val="18"/>
      <w:szCs w:val="18"/>
    </w:rPr>
  </w:style>
  <w:style w:type="paragraph" w:customStyle="1" w:styleId="45">
    <w:name w:val="目录 21"/>
    <w:basedOn w:val="1"/>
    <w:next w:val="1"/>
    <w:unhideWhenUsed/>
    <w:qFormat/>
    <w:uiPriority w:val="39"/>
    <w:pPr>
      <w:widowControl/>
      <w:spacing w:after="100" w:line="259" w:lineRule="auto"/>
      <w:ind w:left="220" w:firstLine="0" w:firstLineChars="0"/>
      <w:jc w:val="left"/>
    </w:pPr>
    <w:rPr>
      <w:rFonts w:ascii="Calibri" w:hAnsi="Calibri" w:cs="Times New Roman"/>
      <w:kern w:val="0"/>
      <w:sz w:val="22"/>
    </w:rPr>
  </w:style>
  <w:style w:type="character" w:customStyle="1" w:styleId="46">
    <w:name w:val="超链接1"/>
    <w:basedOn w:val="16"/>
    <w:unhideWhenUsed/>
    <w:qFormat/>
    <w:uiPriority w:val="99"/>
    <w:rPr>
      <w:color w:val="0563C1"/>
      <w:u w:val="single"/>
    </w:rPr>
  </w:style>
  <w:style w:type="table" w:customStyle="1" w:styleId="47">
    <w:name w:val="网格型1"/>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8">
    <w:name w:val="TOC 标题1"/>
    <w:basedOn w:val="2"/>
    <w:next w:val="1"/>
    <w:unhideWhenUsed/>
    <w:qFormat/>
    <w:uiPriority w:val="39"/>
  </w:style>
  <w:style w:type="paragraph" w:customStyle="1" w:styleId="49">
    <w:name w:val="圖名稱"/>
    <w:basedOn w:val="1"/>
    <w:qFormat/>
    <w:uiPriority w:val="0"/>
    <w:pPr>
      <w:adjustRightInd w:val="0"/>
      <w:spacing w:before="120" w:after="40" w:line="440" w:lineRule="exact"/>
      <w:ind w:right="-227" w:firstLine="0" w:firstLineChars="0"/>
      <w:jc w:val="center"/>
    </w:pPr>
    <w:rPr>
      <w:rFonts w:eastAsia="華康粗圓體" w:cs="Times New Roman"/>
      <w:spacing w:val="20"/>
      <w:kern w:val="0"/>
      <w:sz w:val="28"/>
      <w:szCs w:val="20"/>
      <w:lang w:eastAsia="zh-TW"/>
    </w:rPr>
  </w:style>
  <w:style w:type="paragraph" w:customStyle="1" w:styleId="50">
    <w:name w:val="第一章(一)內容"/>
    <w:basedOn w:val="1"/>
    <w:qFormat/>
    <w:uiPriority w:val="0"/>
    <w:pPr>
      <w:adjustRightInd w:val="0"/>
      <w:spacing w:before="120" w:after="40" w:line="440" w:lineRule="exact"/>
      <w:ind w:left="221" w:right="-227" w:firstLine="641" w:firstLineChars="0"/>
    </w:pPr>
    <w:rPr>
      <w:rFonts w:eastAsia="華康中楷體" w:cs="Times New Roman"/>
      <w:spacing w:val="20"/>
      <w:kern w:val="0"/>
      <w:sz w:val="28"/>
      <w:szCs w:val="20"/>
      <w:lang w:eastAsia="zh-TW"/>
    </w:rPr>
  </w:style>
  <w:style w:type="character" w:customStyle="1" w:styleId="51">
    <w:name w:val="访问过的超链接1"/>
    <w:basedOn w:val="16"/>
    <w:semiHidden/>
    <w:unhideWhenUsed/>
    <w:qFormat/>
    <w:uiPriority w:val="99"/>
    <w:rPr>
      <w:color w:val="954F72"/>
      <w:u w:val="single"/>
    </w:rPr>
  </w:style>
  <w:style w:type="character" w:customStyle="1" w:styleId="52">
    <w:name w:val="标题 1 字符1"/>
    <w:basedOn w:val="16"/>
    <w:uiPriority w:val="9"/>
    <w:rPr>
      <w:rFonts w:ascii="Times New Roman" w:hAnsi="Times New Roman" w:eastAsia="宋体"/>
      <w:b/>
      <w:bCs/>
      <w:kern w:val="44"/>
      <w:sz w:val="44"/>
      <w:szCs w:val="44"/>
    </w:rPr>
  </w:style>
  <w:style w:type="character" w:customStyle="1" w:styleId="53">
    <w:name w:val="批注文字 字符1"/>
    <w:basedOn w:val="16"/>
    <w:link w:val="8"/>
    <w:semiHidden/>
    <w:qFormat/>
    <w:uiPriority w:val="99"/>
    <w:rPr>
      <w:rFonts w:ascii="Times New Roman" w:hAnsi="Times New Roman" w:eastAsia="宋体"/>
      <w:sz w:val="24"/>
    </w:rPr>
  </w:style>
  <w:style w:type="character" w:customStyle="1" w:styleId="54">
    <w:name w:val="批注主题 字符1"/>
    <w:basedOn w:val="53"/>
    <w:semiHidden/>
    <w:qFormat/>
    <w:uiPriority w:val="99"/>
    <w:rPr>
      <w:rFonts w:ascii="Times New Roman" w:hAnsi="Times New Roman" w:eastAsia="宋体"/>
      <w:b/>
      <w:bCs/>
      <w:sz w:val="24"/>
    </w:rPr>
  </w:style>
  <w:style w:type="character" w:customStyle="1" w:styleId="55">
    <w:name w:val="批注框文本 字符1"/>
    <w:basedOn w:val="16"/>
    <w:link w:val="9"/>
    <w:semiHidden/>
    <w:qFormat/>
    <w:uiPriority w:val="99"/>
    <w:rPr>
      <w:rFonts w:ascii="Times New Roman" w:hAnsi="Times New Roman" w:eastAsia="宋体"/>
      <w:sz w:val="18"/>
      <w:szCs w:val="18"/>
    </w:rPr>
  </w:style>
  <w:style w:type="character" w:customStyle="1" w:styleId="56">
    <w:name w:val="页脚 字符1"/>
    <w:basedOn w:val="16"/>
    <w:link w:val="10"/>
    <w:uiPriority w:val="99"/>
    <w:rPr>
      <w:rFonts w:ascii="Times New Roman" w:hAnsi="Times New Roman" w:eastAsia="宋体"/>
      <w:sz w:val="18"/>
      <w:szCs w:val="18"/>
    </w:rPr>
  </w:style>
  <w:style w:type="character" w:customStyle="1" w:styleId="57">
    <w:name w:val="页眉 字符1"/>
    <w:basedOn w:val="16"/>
    <w:link w:val="11"/>
    <w:qFormat/>
    <w:uiPriority w:val="99"/>
    <w:rPr>
      <w:rFonts w:ascii="Times New Roman" w:hAnsi="Times New Roman" w:eastAsia="宋体"/>
      <w:sz w:val="18"/>
      <w:szCs w:val="18"/>
    </w:rPr>
  </w:style>
  <w:style w:type="character" w:customStyle="1" w:styleId="58">
    <w:name w:val="脚注文本 字符1"/>
    <w:basedOn w:val="16"/>
    <w:link w:val="12"/>
    <w:semiHidden/>
    <w:uiPriority w:val="99"/>
    <w:rPr>
      <w:rFonts w:ascii="Times New Roman" w:hAnsi="Times New Roman" w:eastAsia="宋体"/>
      <w:sz w:val="18"/>
      <w:szCs w:val="18"/>
    </w:rPr>
  </w:style>
  <w:style w:type="table" w:customStyle="1" w:styleId="59">
    <w:name w:val="网格型2"/>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0">
    <w:name w:val="网格型3"/>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1">
    <w:name w:val="网格型4"/>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2">
    <w:name w:val="网格型5"/>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1299</Words>
  <Characters>7409</Characters>
  <Lines>61</Lines>
  <Paragraphs>17</Paragraphs>
  <TotalTime>643</TotalTime>
  <ScaleCrop>false</ScaleCrop>
  <LinksUpToDate>false</LinksUpToDate>
  <CharactersWithSpaces>8691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2019-02-18T07:44:00Z</dcterms:created>
  <dc:creator>Jq-Wang</dc:creator>
  <cp:lastModifiedBy>Administrator</cp:lastModifiedBy>
  <dcterms:modified xsi:type="dcterms:W3CDTF">2019-03-14T03:03:15Z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